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Calibri" w:hAnsi="Calibri" w:eastAsia="Calibri" w:cs="Calibri" w:asciiTheme="minorHAnsi" w:cstheme="minorHAnsi" w:hAnsiTheme="minorHAnsi"/>
          <w:b/>
          <w:color w:val="000000"/>
          <w:sz w:val="24"/>
        </w:rPr>
      </w:pPr>
      <w:bookmarkStart w:id="0" w:name="_GoBack"/>
      <w:bookmarkEnd w:id="0"/>
      <w:r>
        <w:rPr>
          <w:rFonts w:eastAsia="Calibri" w:cs="Calibri" w:ascii="Calibri" w:hAnsi="Calibri" w:asciiTheme="minorHAnsi" w:cstheme="minorHAnsi" w:hAnsiTheme="minorHAnsi"/>
          <w:b/>
          <w:color w:val="000000"/>
          <w:sz w:val="24"/>
        </w:rPr>
        <w:t>ANEXO III</w:t>
      </w:r>
    </w:p>
    <w:p>
      <w:pPr>
        <w:pStyle w:val="Normal"/>
        <w:jc w:val="center"/>
        <w:rPr>
          <w:rFonts w:ascii="Calibri" w:hAnsi="Calibri" w:eastAsia="Calibri" w:cs="Calibri" w:asciiTheme="minorHAnsi" w:cstheme="minorHAnsi" w:hAnsiTheme="minorHAnsi"/>
          <w:b/>
          <w:color w:val="000000"/>
          <w:sz w:val="24"/>
        </w:rPr>
      </w:pPr>
      <w:r>
        <w:rPr>
          <w:rFonts w:eastAsia="Calibri" w:cs="Calibri" w:ascii="Calibri" w:hAnsi="Calibri" w:asciiTheme="minorHAnsi" w:cstheme="minorHAnsi" w:hAnsiTheme="minorHAnsi"/>
          <w:b/>
          <w:color w:val="000000"/>
          <w:sz w:val="24"/>
        </w:rPr>
        <w:t>MODELO DE PROPOSTA DE PREÇOS</w:t>
      </w:r>
    </w:p>
    <w:p>
      <w:pPr>
        <w:pStyle w:val="Normal"/>
        <w:rPr>
          <w:rFonts w:ascii="Calibri" w:hAnsi="Calibri" w:eastAsia="Calibri" w:cs="Calibri" w:asciiTheme="minorHAnsi" w:cstheme="minorHAnsi" w:hAnsiTheme="minorHAnsi"/>
          <w:b/>
          <w:color w:val="000000"/>
          <w:sz w:val="24"/>
        </w:rPr>
      </w:pPr>
      <w:r>
        <w:rPr>
          <w:rFonts w:eastAsia="Calibri" w:cs="Calibri" w:cstheme="minorHAnsi" w:ascii="Calibri" w:hAnsi="Calibri"/>
          <w:b/>
          <w:color w:val="000000"/>
          <w:sz w:val="24"/>
        </w:rPr>
      </w:r>
    </w:p>
    <w:p>
      <w:pPr>
        <w:pStyle w:val="Normal"/>
        <w:jc w:val="center"/>
        <w:rPr>
          <w:rFonts w:ascii="Calibri" w:hAnsi="Calibri" w:eastAsia="Calibri" w:cs="Calibri" w:asciiTheme="minorHAnsi" w:cstheme="minorHAnsi" w:hAnsiTheme="minorHAnsi"/>
          <w:sz w:val="24"/>
        </w:rPr>
      </w:pPr>
      <w:r>
        <w:rPr>
          <w:rFonts w:eastAsia="Calibri" w:cs="Calibri" w:ascii="Calibri" w:hAnsi="Calibri" w:asciiTheme="minorHAnsi" w:cstheme="minorHAnsi" w:hAnsiTheme="minorHAnsi"/>
          <w:b/>
          <w:color w:val="000000"/>
          <w:sz w:val="24"/>
        </w:rPr>
        <w:t>PROPOSTA DE PREÇOS</w:t>
      </w:r>
    </w:p>
    <w:p>
      <w:pPr>
        <w:pStyle w:val="Normal"/>
        <w:jc w:val="center"/>
        <w:rPr>
          <w:rFonts w:ascii="Calibri" w:hAnsi="Calibri" w:eastAsia="Calibri" w:cs="Calibri" w:asciiTheme="minorHAnsi" w:cstheme="minorHAnsi" w:hAnsiTheme="minorHAnsi"/>
          <w:sz w:val="24"/>
        </w:rPr>
      </w:pPr>
      <w:r>
        <w:rPr>
          <w:rFonts w:eastAsia="Calibri" w:cs="Calibri" w:cstheme="minorHAnsi" w:ascii="Calibri" w:hAnsi="Calibri"/>
          <w:sz w:val="24"/>
        </w:rPr>
      </w:r>
    </w:p>
    <w:p>
      <w:pPr>
        <w:pStyle w:val="Normal"/>
        <w:jc w:val="center"/>
        <w:rPr>
          <w:rFonts w:ascii="Calibri" w:hAnsi="Calibri" w:eastAsia="Calibri" w:cs="Calibri" w:asciiTheme="minorHAnsi" w:cstheme="minorHAnsi" w:hAnsiTheme="minorHAnsi"/>
          <w:sz w:val="24"/>
        </w:rPr>
      </w:pPr>
      <w:r>
        <w:rPr>
          <w:rFonts w:eastAsia="Calibri" w:cs="Calibri" w:ascii="Calibri" w:hAnsi="Calibri" w:asciiTheme="minorHAnsi" w:cstheme="minorHAnsi" w:hAnsiTheme="minorHAnsi"/>
          <w:b/>
          <w:color w:val="000000"/>
          <w:sz w:val="24"/>
        </w:rPr>
        <w:t xml:space="preserve">PREGÃO SRP 04/2024 (SIASG 90003/2024) - </w:t>
      </w:r>
      <w:r>
        <w:rPr>
          <w:rFonts w:eastAsia="Calibri" w:cs="Calibri" w:ascii="Calibri" w:hAnsi="Calibri" w:asciiTheme="minorHAnsi" w:cstheme="minorHAnsi" w:hAnsiTheme="minorHAnsi"/>
          <w:b/>
          <w:bCs/>
          <w:color w:val="000000"/>
          <w:sz w:val="24"/>
        </w:rPr>
        <w:t>A</w:t>
      </w:r>
      <w:r>
        <w:rPr>
          <w:rFonts w:eastAsia="Calibri" w:cs="Calibri" w:ascii="Calibri" w:hAnsi="Calibri"/>
          <w:b/>
          <w:bCs/>
          <w:color w:val="auto"/>
          <w:sz w:val="24"/>
        </w:rPr>
        <w:t>quisição de itens de Tecnologia da Informação para atender a demanda do IF Baiano – Campus Teixeira de Freitas</w:t>
      </w:r>
    </w:p>
    <w:p>
      <w:pPr>
        <w:pStyle w:val="Normal"/>
        <w:jc w:val="center"/>
        <w:rPr>
          <w:rFonts w:ascii="Calibri" w:hAnsi="Calibri" w:eastAsia="Calibri" w:cs="Calibri" w:asciiTheme="minorHAnsi" w:cstheme="minorHAnsi" w:hAnsiTheme="minorHAnsi"/>
          <w:sz w:val="24"/>
        </w:rPr>
      </w:pPr>
      <w:r>
        <w:rPr>
          <w:rFonts w:eastAsia="Calibri" w:cs="Calibri" w:cstheme="minorHAnsi" w:ascii="Calibri" w:hAnsi="Calibri"/>
          <w:sz w:val="24"/>
        </w:rPr>
      </w:r>
    </w:p>
    <w:p>
      <w:pPr>
        <w:pStyle w:val="Normal"/>
        <w:rPr>
          <w:rFonts w:ascii="Calibri" w:hAnsi="Calibri" w:eastAsia="Calibri" w:cs="Calibri" w:asciiTheme="minorHAnsi" w:cstheme="minorHAnsi" w:hAnsiTheme="minorHAnsi"/>
          <w:sz w:val="24"/>
        </w:rPr>
      </w:pPr>
      <w:r>
        <w:rPr>
          <w:rFonts w:eastAsia="Calibri" w:cs="Calibri" w:cstheme="minorHAnsi" w:ascii="Calibri" w:hAnsi="Calibri"/>
          <w:sz w:val="24"/>
        </w:rPr>
      </w:r>
    </w:p>
    <w:p>
      <w:pPr>
        <w:pStyle w:val="Normal"/>
        <w:rPr>
          <w:rFonts w:ascii="Calibri" w:hAnsi="Calibri" w:eastAsia="Calibri" w:cs="Calibri" w:asciiTheme="minorHAnsi" w:cstheme="minorHAnsi" w:hAnsiTheme="minorHAnsi"/>
          <w:b/>
          <w:sz w:val="24"/>
        </w:rPr>
      </w:pPr>
      <w:r>
        <w:rPr>
          <w:rFonts w:eastAsia="Calibri" w:cs="Calibri" w:ascii="Calibri" w:hAnsi="Calibri" w:asciiTheme="minorHAnsi" w:cstheme="minorHAnsi" w:hAnsiTheme="minorHAnsi"/>
          <w:b/>
          <w:sz w:val="24"/>
        </w:rPr>
        <w:t xml:space="preserve">INFORMAÇÕES </w:t>
      </w:r>
    </w:p>
    <w:p>
      <w:pPr>
        <w:pStyle w:val="Normal"/>
        <w:rPr>
          <w:rFonts w:ascii="Calibri" w:hAnsi="Calibri" w:eastAsia="Calibri" w:cs="Calibri" w:asciiTheme="minorHAnsi" w:cstheme="minorHAnsi" w:hAnsiTheme="minorHAnsi"/>
          <w:sz w:val="24"/>
        </w:rPr>
      </w:pPr>
      <w:r>
        <w:rPr>
          <w:rFonts w:eastAsia="Calibri" w:cs="Calibri" w:ascii="Calibri" w:hAnsi="Calibri" w:asciiTheme="minorHAnsi" w:cstheme="minorHAnsi" w:hAnsiTheme="minorHAnsi"/>
          <w:sz w:val="24"/>
        </w:rPr>
        <w:t xml:space="preserve">Razão Social: </w:t>
      </w:r>
    </w:p>
    <w:p>
      <w:pPr>
        <w:pStyle w:val="Normal"/>
        <w:rPr>
          <w:rFonts w:ascii="Calibri" w:hAnsi="Calibri" w:eastAsia="Calibri" w:cs="Calibri" w:asciiTheme="minorHAnsi" w:cstheme="minorHAnsi" w:hAnsiTheme="minorHAnsi"/>
          <w:sz w:val="24"/>
        </w:rPr>
      </w:pPr>
      <w:r>
        <w:rPr>
          <w:rFonts w:eastAsia="Calibri" w:cs="Calibri" w:ascii="Calibri" w:hAnsi="Calibri" w:asciiTheme="minorHAnsi" w:cstheme="minorHAnsi" w:hAnsiTheme="minorHAnsi"/>
          <w:sz w:val="24"/>
        </w:rPr>
        <w:t xml:space="preserve">Nome Fantasia: </w:t>
      </w:r>
    </w:p>
    <w:p>
      <w:pPr>
        <w:pStyle w:val="Normal"/>
        <w:rPr>
          <w:rFonts w:ascii="Calibri" w:hAnsi="Calibri" w:eastAsia="Calibri" w:cs="Calibri" w:asciiTheme="minorHAnsi" w:cstheme="minorHAnsi" w:hAnsiTheme="minorHAnsi"/>
          <w:sz w:val="24"/>
        </w:rPr>
      </w:pPr>
      <w:r>
        <w:rPr>
          <w:rFonts w:eastAsia="Calibri" w:cs="Calibri" w:ascii="Calibri" w:hAnsi="Calibri" w:asciiTheme="minorHAnsi" w:cstheme="minorHAnsi" w:hAnsiTheme="minorHAnsi"/>
          <w:sz w:val="24"/>
        </w:rPr>
        <w:t xml:space="preserve">CNPJ: </w:t>
      </w:r>
    </w:p>
    <w:p>
      <w:pPr>
        <w:pStyle w:val="Normal"/>
        <w:rPr>
          <w:rFonts w:ascii="Calibri" w:hAnsi="Calibri" w:eastAsia="Calibri" w:cs="Calibri" w:asciiTheme="minorHAnsi" w:cstheme="minorHAnsi" w:hAnsiTheme="minorHAnsi"/>
          <w:sz w:val="24"/>
        </w:rPr>
      </w:pPr>
      <w:r>
        <w:rPr>
          <w:rFonts w:eastAsia="Calibri" w:cs="Calibri" w:ascii="Calibri" w:hAnsi="Calibri" w:asciiTheme="minorHAnsi" w:cstheme="minorHAnsi" w:hAnsiTheme="minorHAnsi"/>
          <w:sz w:val="24"/>
        </w:rPr>
        <w:t>Endereço Completo:</w:t>
      </w:r>
    </w:p>
    <w:p>
      <w:pPr>
        <w:pStyle w:val="Normal"/>
        <w:rPr>
          <w:rFonts w:ascii="Calibri" w:hAnsi="Calibri" w:eastAsia="Calibri" w:cs="Calibri" w:asciiTheme="minorHAnsi" w:cstheme="minorHAnsi" w:hAnsiTheme="minorHAnsi"/>
          <w:sz w:val="24"/>
        </w:rPr>
      </w:pPr>
      <w:r>
        <w:rPr>
          <w:rFonts w:eastAsia="Calibri" w:cs="Calibri" w:ascii="Calibri" w:hAnsi="Calibri" w:asciiTheme="minorHAnsi" w:cstheme="minorHAnsi" w:hAnsiTheme="minorHAnsi"/>
          <w:sz w:val="24"/>
        </w:rPr>
        <w:t xml:space="preserve">Cidade: </w:t>
      </w:r>
    </w:p>
    <w:p>
      <w:pPr>
        <w:pStyle w:val="Normal"/>
        <w:rPr>
          <w:rFonts w:ascii="Calibri" w:hAnsi="Calibri" w:eastAsia="Calibri" w:cs="Calibri" w:asciiTheme="minorHAnsi" w:cstheme="minorHAnsi" w:hAnsiTheme="minorHAnsi"/>
          <w:sz w:val="24"/>
        </w:rPr>
      </w:pPr>
      <w:r>
        <w:rPr>
          <w:rFonts w:eastAsia="Calibri" w:cs="Calibri" w:ascii="Calibri" w:hAnsi="Calibri" w:asciiTheme="minorHAnsi" w:cstheme="minorHAnsi" w:hAnsiTheme="minorHAnsi"/>
          <w:sz w:val="24"/>
        </w:rPr>
        <w:t xml:space="preserve">CEP: </w:t>
      </w:r>
    </w:p>
    <w:p>
      <w:pPr>
        <w:pStyle w:val="Normal"/>
        <w:rPr>
          <w:rFonts w:ascii="Calibri" w:hAnsi="Calibri" w:eastAsia="Calibri" w:cs="Calibri" w:asciiTheme="minorHAnsi" w:cstheme="minorHAnsi" w:hAnsiTheme="minorHAnsi"/>
          <w:sz w:val="24"/>
        </w:rPr>
      </w:pPr>
      <w:r>
        <w:rPr>
          <w:rFonts w:eastAsia="Calibri" w:cs="Calibri" w:ascii="Calibri" w:hAnsi="Calibri" w:asciiTheme="minorHAnsi" w:cstheme="minorHAnsi" w:hAnsiTheme="minorHAnsi"/>
          <w:sz w:val="24"/>
        </w:rPr>
        <w:t>Telefone fixo:</w:t>
      </w:r>
    </w:p>
    <w:p>
      <w:pPr>
        <w:pStyle w:val="Normal"/>
        <w:rPr>
          <w:rFonts w:ascii="Calibri" w:hAnsi="Calibri" w:eastAsia="Calibri" w:cs="Calibri" w:asciiTheme="minorHAnsi" w:cstheme="minorHAnsi" w:hAnsiTheme="minorHAnsi"/>
          <w:sz w:val="24"/>
        </w:rPr>
      </w:pPr>
      <w:r>
        <w:rPr>
          <w:rFonts w:eastAsia="Calibri" w:cs="Calibri" w:ascii="Calibri" w:hAnsi="Calibri" w:asciiTheme="minorHAnsi" w:cstheme="minorHAnsi" w:hAnsiTheme="minorHAnsi"/>
          <w:sz w:val="24"/>
        </w:rPr>
        <w:t>Telefone Celular do responsável legal (whatsapp):</w:t>
      </w:r>
    </w:p>
    <w:p>
      <w:pPr>
        <w:pStyle w:val="Normal"/>
        <w:rPr>
          <w:rFonts w:ascii="Calibri" w:hAnsi="Calibri" w:eastAsia="Calibri" w:cs="Calibri" w:asciiTheme="minorHAnsi" w:cstheme="minorHAnsi" w:hAnsiTheme="minorHAnsi"/>
          <w:sz w:val="24"/>
        </w:rPr>
      </w:pPr>
      <w:r>
        <w:rPr>
          <w:rFonts w:eastAsia="Calibri" w:cs="Calibri" w:ascii="Calibri" w:hAnsi="Calibri" w:asciiTheme="minorHAnsi" w:cstheme="minorHAnsi" w:hAnsiTheme="minorHAnsi"/>
          <w:sz w:val="24"/>
        </w:rPr>
        <w:t>Telefone Celular do responsável por operar o Pregão Eletrônico na empresa (whatsapp):</w:t>
      </w:r>
    </w:p>
    <w:p>
      <w:pPr>
        <w:pStyle w:val="Normal"/>
        <w:rPr>
          <w:rFonts w:ascii="Calibri" w:hAnsi="Calibri" w:eastAsia="Calibri" w:cs="Calibri" w:asciiTheme="minorHAnsi" w:cstheme="minorHAnsi" w:hAnsiTheme="minorHAnsi"/>
          <w:sz w:val="24"/>
        </w:rPr>
      </w:pPr>
      <w:r>
        <w:rPr>
          <w:rFonts w:eastAsia="Calibri" w:cs="Calibri" w:ascii="Calibri" w:hAnsi="Calibri" w:asciiTheme="minorHAnsi" w:cstheme="minorHAnsi" w:hAnsiTheme="minorHAnsi"/>
          <w:sz w:val="24"/>
        </w:rPr>
        <w:t xml:space="preserve">E-mail da empresa para recebimento de documentos da licitação: </w:t>
      </w:r>
    </w:p>
    <w:p>
      <w:pPr>
        <w:pStyle w:val="Normal"/>
        <w:rPr>
          <w:rFonts w:ascii="Calibri" w:hAnsi="Calibri" w:eastAsia="Calibri" w:cs="Calibri" w:asciiTheme="minorHAnsi" w:cstheme="minorHAnsi" w:hAnsiTheme="minorHAnsi"/>
          <w:sz w:val="24"/>
        </w:rPr>
      </w:pPr>
      <w:r>
        <w:rPr>
          <w:rFonts w:eastAsia="Calibri" w:cs="Calibri" w:ascii="Calibri" w:hAnsi="Calibri" w:asciiTheme="minorHAnsi" w:cstheme="minorHAnsi" w:hAnsiTheme="minorHAnsi"/>
          <w:sz w:val="24"/>
        </w:rPr>
        <w:t xml:space="preserve">Responsável legal (preferencialmente sócio-administrador): </w:t>
      </w:r>
    </w:p>
    <w:p>
      <w:pPr>
        <w:pStyle w:val="Normal"/>
        <w:rPr>
          <w:rFonts w:ascii="Calibri" w:hAnsi="Calibri" w:eastAsia="Calibri" w:cs="Calibri" w:asciiTheme="minorHAnsi" w:cstheme="minorHAnsi" w:hAnsiTheme="minorHAnsi"/>
          <w:sz w:val="24"/>
        </w:rPr>
      </w:pPr>
      <w:r>
        <w:rPr>
          <w:rFonts w:eastAsia="Calibri" w:cs="Calibri" w:ascii="Calibri" w:hAnsi="Calibri" w:asciiTheme="minorHAnsi" w:cstheme="minorHAnsi" w:hAnsiTheme="minorHAnsi"/>
          <w:sz w:val="24"/>
        </w:rPr>
        <w:t>CPF do Responsável legal:</w:t>
      </w:r>
    </w:p>
    <w:p>
      <w:pPr>
        <w:pStyle w:val="Normal"/>
        <w:rPr>
          <w:rFonts w:ascii="Calibri" w:hAnsi="Calibri" w:eastAsia="Calibri" w:cs="Calibri" w:asciiTheme="minorHAnsi" w:cstheme="minorHAnsi" w:hAnsiTheme="minorHAnsi"/>
          <w:sz w:val="24"/>
        </w:rPr>
      </w:pPr>
      <w:r>
        <w:rPr>
          <w:rFonts w:eastAsia="Calibri" w:cs="Calibri" w:ascii="Calibri" w:hAnsi="Calibri" w:asciiTheme="minorHAnsi" w:cstheme="minorHAnsi" w:hAnsiTheme="minorHAnsi"/>
          <w:sz w:val="24"/>
        </w:rPr>
        <w:t xml:space="preserve">Dados Bancários da empresa: </w:t>
      </w:r>
    </w:p>
    <w:p>
      <w:pPr>
        <w:pStyle w:val="Normal"/>
        <w:rPr>
          <w:rFonts w:ascii="Calibri" w:hAnsi="Calibri" w:eastAsia="Calibri" w:cs="Calibri" w:asciiTheme="minorHAnsi" w:cstheme="minorHAnsi" w:hAnsiTheme="minorHAnsi"/>
          <w:sz w:val="24"/>
        </w:rPr>
      </w:pPr>
      <w:r>
        <w:rPr>
          <w:rFonts w:eastAsia="Calibri" w:cs="Calibri" w:ascii="Calibri" w:hAnsi="Calibri" w:asciiTheme="minorHAnsi" w:cstheme="minorHAnsi" w:hAnsiTheme="minorHAnsi"/>
          <w:sz w:val="24"/>
        </w:rPr>
        <w:t>Banco: ______________________ Agência: ______________ Conta-Corrente:____________</w:t>
      </w:r>
    </w:p>
    <w:p>
      <w:pPr>
        <w:pStyle w:val="Normal"/>
        <w:rPr>
          <w:rFonts w:ascii="Calibri" w:hAnsi="Calibri" w:eastAsia="Calibri" w:cs="Calibri" w:asciiTheme="minorHAnsi" w:cstheme="minorHAnsi" w:hAnsiTheme="minorHAnsi"/>
          <w:sz w:val="24"/>
        </w:rPr>
      </w:pPr>
      <w:r>
        <w:rPr>
          <w:rFonts w:eastAsia="Calibri" w:cs="Calibri" w:cstheme="minorHAnsi" w:ascii="Calibri" w:hAnsi="Calibri"/>
          <w:sz w:val="24"/>
        </w:rPr>
      </w:r>
    </w:p>
    <w:tbl>
      <w:tblPr>
        <w:tblW w:w="9422" w:type="dxa"/>
        <w:jc w:val="center"/>
        <w:tblInd w:w="0" w:type="dxa"/>
        <w:tblLayout w:type="fixed"/>
        <w:tblCellMar>
          <w:top w:w="55" w:type="dxa"/>
          <w:left w:w="54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912"/>
        <w:gridCol w:w="444"/>
        <w:gridCol w:w="2328"/>
        <w:gridCol w:w="852"/>
        <w:gridCol w:w="504"/>
        <w:gridCol w:w="576"/>
        <w:gridCol w:w="900"/>
        <w:gridCol w:w="1344"/>
        <w:gridCol w:w="756"/>
        <w:gridCol w:w="806"/>
      </w:tblGrid>
      <w:tr>
        <w:trPr>
          <w:trHeight w:val="1135" w:hRule="atLeast"/>
          <w:cantSplit w:val="true"/>
        </w:trPr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Grupo</w:t>
            </w:r>
          </w:p>
        </w:tc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23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Código CATMAT</w:t>
            </w:r>
          </w:p>
        </w:tc>
        <w:tc>
          <w:tcPr>
            <w:tcW w:w="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Und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Qtd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Preço unitário medina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Valor total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Periodicidade da entrega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Prazo mínimo de  garantia</w:t>
            </w:r>
          </w:p>
        </w:tc>
      </w:tr>
      <w:tr>
        <w:trPr>
          <w:trHeight w:val="2730" w:hRule="atLeast"/>
        </w:trPr>
        <w:tc>
          <w:tcPr>
            <w:tcW w:w="9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3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BodyText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Microcomputador:</w:t>
            </w:r>
          </w:p>
          <w:p>
            <w:pPr>
              <w:pStyle w:val="BodyText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Memória RAM: 16 GB DDR4 2666 MHz ou Superior</w:t>
            </w:r>
          </w:p>
          <w:p>
            <w:pPr>
              <w:pStyle w:val="BodyText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Arquitetura do Processador: 64 bits</w:t>
            </w:r>
          </w:p>
          <w:p>
            <w:pPr>
              <w:pStyle w:val="BodyText"/>
              <w:widowControl w:val="false"/>
              <w:spacing w:before="0" w:after="120"/>
              <w:ind w:hanging="0" w:left="0" w:right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Núcleos Por Processador: 8 ou mais (16 threads ou mais)</w:t>
            </w:r>
          </w:p>
          <w:p>
            <w:pPr>
              <w:pStyle w:val="BodyText"/>
              <w:widowControl w:val="false"/>
              <w:spacing w:before="0" w:after="120"/>
              <w:ind w:hanging="0" w:left="0" w:right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Cache: 12 MB ou mais</w:t>
            </w:r>
          </w:p>
          <w:p>
            <w:pPr>
              <w:pStyle w:val="BodyText"/>
              <w:widowControl w:val="false"/>
              <w:spacing w:before="0" w:after="120"/>
              <w:ind w:hanging="0" w:left="0" w:right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Armazenamento HDD: Sem Disco</w:t>
            </w:r>
          </w:p>
          <w:p>
            <w:pPr>
              <w:pStyle w:val="BodyText"/>
              <w:widowControl w:val="false"/>
              <w:spacing w:before="0" w:after="120"/>
              <w:ind w:hanging="0" w:left="0" w:right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Armazenamento SSD: 240 GB ou superior</w:t>
            </w:r>
          </w:p>
          <w:p>
            <w:pPr>
              <w:pStyle w:val="BodyText"/>
              <w:widowControl w:val="false"/>
              <w:spacing w:before="0" w:after="120"/>
              <w:ind w:hanging="0" w:left="0" w:right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Sem Monitor</w:t>
            </w:r>
          </w:p>
          <w:p>
            <w:pPr>
              <w:pStyle w:val="BodyText"/>
              <w:widowControl w:val="false"/>
              <w:spacing w:before="0" w:after="120"/>
              <w:ind w:hanging="0" w:left="0" w:right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Sem Teclado E Mouse</w:t>
            </w:r>
          </w:p>
          <w:p>
            <w:pPr>
              <w:pStyle w:val="BodyText"/>
              <w:widowControl w:val="false"/>
              <w:spacing w:before="0" w:after="120"/>
              <w:ind w:hanging="0" w:left="0" w:right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Sistema Operacional: Windows 10 Pro ou Superior</w:t>
            </w:r>
          </w:p>
          <w:p>
            <w:pPr>
              <w:pStyle w:val="BodyText"/>
              <w:widowControl w:val="false"/>
              <w:spacing w:before="0" w:after="120"/>
              <w:ind w:hanging="0" w:left="0" w:right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4 conexões USB (ao menos 2 tipo 3.0)</w:t>
            </w:r>
          </w:p>
          <w:p>
            <w:pPr>
              <w:pStyle w:val="BodyText"/>
              <w:widowControl w:val="false"/>
              <w:spacing w:before="0" w:after="120"/>
              <w:ind w:hanging="0" w:left="0" w:right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Conexão de Rede: RJ45 e Wi-Fi</w:t>
            </w:r>
          </w:p>
          <w:p>
            <w:pPr>
              <w:pStyle w:val="BodyText"/>
              <w:widowControl w:val="false"/>
              <w:spacing w:before="0" w:after="120"/>
              <w:ind w:hanging="0" w:left="0" w:right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Interface de vídeo: ao menos duas distintas (HDMI, Displayport, DVI, VGA, por exemplo)</w:t>
            </w:r>
          </w:p>
          <w:p>
            <w:pPr>
              <w:pStyle w:val="BodyText"/>
              <w:widowControl w:val="false"/>
              <w:spacing w:before="0" w:after="120"/>
              <w:ind w:hanging="0" w:left="0" w:right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Conexão de áudio para fone de ouvido e microfone</w:t>
            </w:r>
          </w:p>
          <w:p>
            <w:pPr>
              <w:pStyle w:val="BodyText"/>
              <w:widowControl w:val="false"/>
              <w:spacing w:before="0" w:after="120"/>
              <w:ind w:hanging="0" w:left="0" w:right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Fonte de alimentação: Bivolt (127-240V) Automática, com cabo de alimentação Padrão Brasileiro ABNT NBR-14136</w:t>
            </w:r>
          </w:p>
          <w:p>
            <w:pPr>
              <w:pStyle w:val="BodyText"/>
              <w:widowControl w:val="false"/>
              <w:spacing w:before="0" w:after="120"/>
              <w:ind w:hanging="0" w:left="0" w:right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Garantia On Site: 36 MESES (Fornecida pelo fabricante ou revendedor)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618581</w:t>
            </w:r>
          </w:p>
        </w:tc>
        <w:tc>
          <w:tcPr>
            <w:tcW w:w="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UN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9.030,79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1.444.926,40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36 meses (</w:t>
            </w: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Garantia On Site)</w:t>
            </w:r>
          </w:p>
        </w:tc>
      </w:tr>
      <w:tr>
        <w:trPr>
          <w:trHeight w:val="2730" w:hRule="atLeast"/>
        </w:trPr>
        <w:tc>
          <w:tcPr>
            <w:tcW w:w="912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Microcomputador</w:t>
            </w:r>
          </w:p>
          <w:p>
            <w:pPr>
              <w:pStyle w:val="BodyText"/>
              <w:widowControl w:val="false"/>
              <w:spacing w:before="0" w:after="12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Memória RAM: 16 GB DDR4 2666 MHz ou Superior</w:t>
            </w:r>
          </w:p>
          <w:p>
            <w:pPr>
              <w:pStyle w:val="BodyText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Arquitetura do Processador: 64 bits</w:t>
            </w:r>
          </w:p>
          <w:p>
            <w:pPr>
              <w:pStyle w:val="BodyText"/>
              <w:widowControl w:val="false"/>
              <w:spacing w:before="0" w:after="120"/>
              <w:ind w:hanging="0" w:left="0" w:right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Núcleos Por Processador: 8 ou mais (16 threads ou mais)</w:t>
            </w:r>
          </w:p>
          <w:p>
            <w:pPr>
              <w:pStyle w:val="BodyText"/>
              <w:widowControl w:val="false"/>
              <w:spacing w:before="0" w:after="120"/>
              <w:ind w:hanging="0" w:left="0" w:right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Cache: 12 MB ou mais</w:t>
            </w:r>
          </w:p>
          <w:p>
            <w:pPr>
              <w:pStyle w:val="BodyText"/>
              <w:widowControl w:val="false"/>
              <w:spacing w:before="0" w:after="120"/>
              <w:ind w:hanging="0" w:left="0" w:right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Armazenamento HDD: Sem Disco</w:t>
            </w:r>
          </w:p>
          <w:p>
            <w:pPr>
              <w:pStyle w:val="BodyText"/>
              <w:widowControl w:val="false"/>
              <w:spacing w:before="0" w:after="120"/>
              <w:ind w:hanging="0" w:left="0" w:right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Armazenamento SSD: 240 GB</w:t>
            </w:r>
          </w:p>
          <w:p>
            <w:pPr>
              <w:pStyle w:val="BodyText"/>
              <w:widowControl w:val="false"/>
              <w:spacing w:before="0" w:after="120"/>
              <w:ind w:hanging="0" w:left="0" w:right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Sem Monitor</w:t>
            </w:r>
          </w:p>
          <w:p>
            <w:pPr>
              <w:pStyle w:val="BodyText"/>
              <w:widowControl w:val="false"/>
              <w:spacing w:before="0" w:after="120"/>
              <w:ind w:hanging="0" w:left="0" w:right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Componentes Adicionais: Com Teclado E Mouse</w:t>
            </w:r>
          </w:p>
          <w:p>
            <w:pPr>
              <w:pStyle w:val="BodyText"/>
              <w:widowControl w:val="false"/>
              <w:spacing w:before="0" w:after="120"/>
              <w:ind w:hanging="0" w:left="0" w:right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Sistema Operacional: Proprietário Windows 10 Pro ou Superior</w:t>
            </w:r>
          </w:p>
          <w:p>
            <w:pPr>
              <w:pStyle w:val="BodyText"/>
              <w:widowControl w:val="false"/>
              <w:spacing w:before="0" w:after="120"/>
              <w:ind w:hanging="0" w:left="0" w:right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4 conexões USB (ao menos 2 tipo 3.0)</w:t>
            </w:r>
          </w:p>
          <w:p>
            <w:pPr>
              <w:pStyle w:val="BodyText"/>
              <w:widowControl w:val="false"/>
              <w:spacing w:before="0" w:after="120"/>
              <w:ind w:hanging="0" w:left="0" w:right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Conexão de Rede: RJ45 e Wi-Fi</w:t>
            </w:r>
          </w:p>
          <w:p>
            <w:pPr>
              <w:pStyle w:val="BodyText"/>
              <w:widowControl w:val="false"/>
              <w:spacing w:before="0" w:after="120"/>
              <w:ind w:hanging="0" w:left="0" w:right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Interface de vídeo: ao menos duas distintas (HDMI, Displayport, DVI, VGA, por exemplo)</w:t>
            </w:r>
          </w:p>
          <w:p>
            <w:pPr>
              <w:pStyle w:val="BodyText"/>
              <w:widowControl w:val="false"/>
              <w:spacing w:before="0" w:after="120"/>
              <w:ind w:hanging="0" w:left="0" w:right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Conexão de áudio para fone de ouvido e microfone</w:t>
            </w:r>
          </w:p>
          <w:p>
            <w:pPr>
              <w:pStyle w:val="BodyText"/>
              <w:widowControl w:val="false"/>
              <w:spacing w:before="0" w:after="120"/>
              <w:ind w:hanging="0" w:left="0" w:right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Fonte de alimentação: Bivolt (127-240V) Automática, com cabo de alimentação Padrão Brasileiro ABNT NBR-14136</w:t>
            </w:r>
          </w:p>
          <w:p>
            <w:pPr>
              <w:pStyle w:val="BodyText"/>
              <w:widowControl w:val="false"/>
              <w:spacing w:before="0" w:after="120"/>
              <w:ind w:hanging="0" w:left="0" w:right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Garantia On Site: 36 MESES (Fornecida pelo fabricante ou revendedor)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460036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3.657,50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146.300,00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36 meses (</w:t>
            </w: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Garantia On Site)</w:t>
            </w:r>
          </w:p>
        </w:tc>
      </w:tr>
      <w:tr>
        <w:trPr>
          <w:trHeight w:val="588" w:hRule="atLeast"/>
        </w:trPr>
        <w:tc>
          <w:tcPr>
            <w:tcW w:w="6516" w:type="dxa"/>
            <w:gridSpan w:val="7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Total do Grupo 1</w:t>
            </w:r>
          </w:p>
        </w:tc>
        <w:tc>
          <w:tcPr>
            <w:tcW w:w="2906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R$ 1.591.226,40</w:t>
            </w:r>
          </w:p>
        </w:tc>
      </w:tr>
      <w:tr>
        <w:trPr>
          <w:trHeight w:val="2730" w:hRule="atLeast"/>
        </w:trPr>
        <w:tc>
          <w:tcPr>
            <w:tcW w:w="912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No-break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Tensão Alimentação Entrada: 115/127/220 KV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Mínimo de Conexões de Saída: 4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Características Adicionais: Proteção Contra Sub E Sobre Tensão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Tipo: No-break Senoidal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Fator Potência: 0,7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Capacidade Nominal: 700 VA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Tipo Onda: Senoidal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614397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478,49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105.267,80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</w:t>
            </w:r>
          </w:p>
        </w:tc>
      </w:tr>
      <w:tr>
        <w:trPr>
          <w:trHeight w:val="2730" w:hRule="atLeast"/>
        </w:trPr>
        <w:tc>
          <w:tcPr>
            <w:tcW w:w="912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No-break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Tensão Alimentação Entrada: 115/127/220 V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Mínimo De Conexões De Saída: 5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Tomadas: NBR 14136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Tipo: No-break Senoidal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Tensão Saída: 115 V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Fator Potência: 0,5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Capacidade Nominal: 1500 VA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Tipo Onda: Senoidal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  <w:sz w:val="22"/>
                <w:szCs w:val="22"/>
              </w:rPr>
              <w:t>614404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1.145,00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11.450,00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12 meses</w:t>
            </w:r>
          </w:p>
        </w:tc>
      </w:tr>
      <w:tr>
        <w:trPr>
          <w:trHeight w:val="2730" w:hRule="atLeast"/>
        </w:trPr>
        <w:tc>
          <w:tcPr>
            <w:tcW w:w="912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No-break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Tensão Alimentação Entrada: 110/220 V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Frequência: 50/60 HZ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Tipo: No-break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Mínimo De Conexões De Saída: 8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Tensão Saída: 110 V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Capacidade Nominal: 3.200 VA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Autonomia Bateria: 20 Min ou mais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445824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6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2.411,75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14.470,50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</w:t>
            </w:r>
          </w:p>
        </w:tc>
      </w:tr>
      <w:tr>
        <w:trPr>
          <w:trHeight w:val="2730" w:hRule="atLeast"/>
        </w:trPr>
        <w:tc>
          <w:tcPr>
            <w:tcW w:w="912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Módulo de Bateria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Quantidade Bateria: 2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Capacidade Bateria: 40 AH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Características Adicionais: Gabinete Conector De Engate Rápido Com Cabo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382320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2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2.393,58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4.787,16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</w:t>
            </w:r>
          </w:p>
        </w:tc>
      </w:tr>
      <w:tr>
        <w:trPr>
          <w:trHeight w:val="2730" w:hRule="atLeast"/>
        </w:trPr>
        <w:tc>
          <w:tcPr>
            <w:tcW w:w="912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Bateria de Computador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Tipo: Lithium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Tensão Alimentação: 3v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Aplicação: Para Setup (Bios)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Modelo: Cr-2032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238772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1,82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182,00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</w:t>
            </w:r>
          </w:p>
        </w:tc>
      </w:tr>
      <w:tr>
        <w:trPr>
          <w:trHeight w:val="740" w:hRule="atLeast"/>
        </w:trPr>
        <w:tc>
          <w:tcPr>
            <w:tcW w:w="6516" w:type="dxa"/>
            <w:gridSpan w:val="7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Total do Grupo 2</w:t>
            </w:r>
          </w:p>
        </w:tc>
        <w:tc>
          <w:tcPr>
            <w:tcW w:w="2906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R$ 136.157,46</w:t>
            </w:r>
          </w:p>
        </w:tc>
      </w:tr>
      <w:tr>
        <w:trPr>
          <w:trHeight w:val="2550" w:hRule="atLeast"/>
        </w:trPr>
        <w:tc>
          <w:tcPr>
            <w:tcW w:w="912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Bateria Recarregável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Tipo: Estacionária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Aplicação: No-break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Tensão Nominal: 12 V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Capacidade Nominal: 9 A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611061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94,70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947,00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</w:t>
            </w:r>
          </w:p>
        </w:tc>
      </w:tr>
      <w:tr>
        <w:trPr>
          <w:trHeight w:val="2550" w:hRule="atLeast"/>
        </w:trPr>
        <w:tc>
          <w:tcPr>
            <w:tcW w:w="912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Filtro Linha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Tensão</w:t>
            </w:r>
            <w:r>
              <w:rPr>
                <w:b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 xml:space="preserve"> </w:t>
            </w: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Alimentação: 110/220 V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Corrente Máxima: 10 A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Quantidade Saída: 6 Tomadas Com 3 Pinos Tipo Fêmea Com Aterramento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Características Adicionais: LED Indicativo De Funcionamento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  <w:u w:val="none"/>
              </w:rPr>
              <w:t>449693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22,90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687,00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</w:t>
            </w:r>
          </w:p>
        </w:tc>
      </w:tr>
      <w:tr>
        <w:trPr>
          <w:trHeight w:val="734" w:hRule="atLeast"/>
        </w:trPr>
        <w:tc>
          <w:tcPr>
            <w:tcW w:w="6516" w:type="dxa"/>
            <w:gridSpan w:val="7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Total do Grupo 03</w:t>
            </w:r>
          </w:p>
        </w:tc>
        <w:tc>
          <w:tcPr>
            <w:tcW w:w="2906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R$ 1.634,00</w:t>
            </w:r>
          </w:p>
        </w:tc>
      </w:tr>
      <w:tr>
        <w:trPr>
          <w:trHeight w:val="2730" w:hRule="atLeast"/>
        </w:trPr>
        <w:tc>
          <w:tcPr>
            <w:tcW w:w="912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Switch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Quantidade Portas: 10 UN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Tipo Portas: Porta Ethernet 1000,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Alimentação: Bivolt (100 A 240 V)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Características Adicionais: 2 Portas Fibra Ótica, 8 Portas Cabo De Cobre (par trançado – entrada RJ45)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Aplicação: Transmissão De Dados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Tipo: Switch Gerenciável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455488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1.651,50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16.515,00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</w:t>
            </w:r>
          </w:p>
        </w:tc>
      </w:tr>
      <w:tr>
        <w:trPr>
          <w:trHeight w:val="2730" w:hRule="atLeast"/>
        </w:trPr>
        <w:tc>
          <w:tcPr>
            <w:tcW w:w="912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Switch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Quantidade Portas: 24 UN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Tipo Portas: 10/100/1000 Base T, Rj45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Velocidade Porta: 1000 Mbps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Alimentação: Bivolt (100 A 240 V)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Aplicação: Conectar Servidores E Equipamentos Em Rede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Tipo: Switch Gerenciável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609689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1.980,65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19.806,50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</w:t>
            </w:r>
          </w:p>
        </w:tc>
      </w:tr>
      <w:tr>
        <w:trPr>
          <w:trHeight w:val="2730" w:hRule="atLeast"/>
        </w:trPr>
        <w:tc>
          <w:tcPr>
            <w:tcW w:w="912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Switch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Quantidade Portas: 48 UN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Tipo Portas: 10/100/1000 Base T, Rj45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Velocidade Porta: 1000 Mbps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Alimentação: Bivolt (100 A 240 V)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Aplicação: Conectar Servidores E Equipamentos Em Rede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Tipo: Switch Gerenciável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609690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5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4.300,00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21.500,00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</w:t>
            </w:r>
          </w:p>
        </w:tc>
      </w:tr>
      <w:tr>
        <w:trPr>
          <w:trHeight w:val="684" w:hRule="atLeast"/>
        </w:trPr>
        <w:tc>
          <w:tcPr>
            <w:tcW w:w="6516" w:type="dxa"/>
            <w:gridSpan w:val="7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Total do Grupo 04</w:t>
            </w:r>
          </w:p>
        </w:tc>
        <w:tc>
          <w:tcPr>
            <w:tcW w:w="2906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R$ 57.821,50</w:t>
            </w:r>
          </w:p>
        </w:tc>
      </w:tr>
      <w:tr>
        <w:trPr>
          <w:trHeight w:val="2730" w:hRule="atLeast"/>
        </w:trPr>
        <w:tc>
          <w:tcPr>
            <w:tcW w:w="912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Cabo Rede Computador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Material Revestimento: PVC – Cloreto De Polivinila Antichama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Material Condutor: Cobre Nú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Tipo Condutor: Par Trançado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Categoria: 5e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Aplicação: Conexão De Rede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467548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CX 305 m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452,50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9.050,00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</w:t>
            </w:r>
          </w:p>
        </w:tc>
      </w:tr>
      <w:tr>
        <w:trPr>
          <w:trHeight w:val="2730" w:hRule="atLeast"/>
        </w:trPr>
        <w:tc>
          <w:tcPr>
            <w:tcW w:w="912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Cabo Rede Computador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Material Revestimento: Polietileno Especial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Material Condutor: Cobre Nú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Tipo Condutor: Par Trançado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Material Isolamento Condutor: PVC Não Propagante À Chama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Categoria: 6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Aplicação: Conexão De Rede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467549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CX</w:t>
            </w:r>
          </w:p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305 m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750,00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2.250,00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</w:t>
            </w:r>
          </w:p>
        </w:tc>
      </w:tr>
      <w:tr>
        <w:trPr>
          <w:trHeight w:val="2730" w:hRule="atLeast"/>
        </w:trPr>
        <w:tc>
          <w:tcPr>
            <w:tcW w:w="912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Tomada RJ45 Fêmea (com caixa e conector)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Modelo: Rj45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Tipo: Fêmea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Normas Técnicas: T568a/B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Aplicação: Instalação Rede De Informática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Categoria: 5e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Tipo Fixação: Parede (não embutida)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Quantidade Entradas: 1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337243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22,00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3.300,00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</w:t>
            </w:r>
          </w:p>
        </w:tc>
      </w:tr>
      <w:tr>
        <w:trPr>
          <w:trHeight w:val="2730" w:hRule="atLeast"/>
        </w:trPr>
        <w:tc>
          <w:tcPr>
            <w:tcW w:w="912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Conversor Cabo Fibra Ótica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Taxa Transmissão: 10/100/1000 Mbps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Tipo Conector: RJ-45 E Sc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Transmissão: Half/Full Duplex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Alcance: 10 Km</w:t>
            </w:r>
          </w:p>
          <w:p>
            <w:pPr>
              <w:pStyle w:val="Normal"/>
              <w:widowControl w:val="false"/>
              <w:bidi w:val="0"/>
              <w:spacing w:before="0" w:after="200"/>
              <w:jc w:val="left"/>
              <w:rPr>
                <w:color w:val="000000"/>
              </w:rPr>
            </w:pPr>
            <w:r>
              <w:rPr>
                <w:color w:val="000000"/>
              </w:rPr>
              <w:t>Tipo Fibra: Monomodo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486614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154,00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4.620,00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</w:t>
            </w:r>
          </w:p>
        </w:tc>
      </w:tr>
      <w:tr>
        <w:trPr>
          <w:trHeight w:val="634" w:hRule="atLeast"/>
        </w:trPr>
        <w:tc>
          <w:tcPr>
            <w:tcW w:w="6516" w:type="dxa"/>
            <w:gridSpan w:val="7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Total do Grupo 05</w:t>
            </w:r>
          </w:p>
        </w:tc>
        <w:tc>
          <w:tcPr>
            <w:tcW w:w="2906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R$ 19.220,00</w:t>
            </w:r>
          </w:p>
        </w:tc>
      </w:tr>
      <w:tr>
        <w:trPr>
          <w:trHeight w:val="2385" w:hRule="atLeast"/>
        </w:trPr>
        <w:tc>
          <w:tcPr>
            <w:tcW w:w="912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Memória RAM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Aplicação: Desktop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Capacidade: 8 GB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Padrão: DD3</w:t>
            </w:r>
          </w:p>
          <w:p>
            <w:pPr>
              <w:pStyle w:val="Normal"/>
              <w:widowControl w:val="false"/>
              <w:bidi w:val="0"/>
              <w:spacing w:before="0" w:after="20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Frequência: 1333 MHz (ou superior)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  <w:shd w:fill="auto" w:val="clear"/>
              </w:rPr>
              <w:t>473420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53,00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1.590,00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</w:t>
            </w:r>
          </w:p>
        </w:tc>
      </w:tr>
      <w:tr>
        <w:trPr>
          <w:trHeight w:val="2385" w:hRule="atLeast"/>
        </w:trPr>
        <w:tc>
          <w:tcPr>
            <w:tcW w:w="912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Memória RAM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Aplicação: Desktop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Capacidade: 8 GB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Padrão: DD4</w:t>
            </w:r>
          </w:p>
          <w:p>
            <w:pPr>
              <w:pStyle w:val="Normal"/>
              <w:widowControl w:val="false"/>
              <w:bidi w:val="0"/>
              <w:spacing w:before="0" w:after="200"/>
              <w:jc w:val="left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Frequência: 2400 MHz ou superior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  <w:shd w:fill="auto" w:val="clear"/>
              </w:rPr>
              <w:t>604331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95,90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959,00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</w:t>
            </w:r>
          </w:p>
        </w:tc>
      </w:tr>
      <w:tr>
        <w:trPr>
          <w:trHeight w:val="640" w:hRule="atLeast"/>
        </w:trPr>
        <w:tc>
          <w:tcPr>
            <w:tcW w:w="6516" w:type="dxa"/>
            <w:gridSpan w:val="7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Total do Grupo 06</w:t>
            </w:r>
          </w:p>
        </w:tc>
        <w:tc>
          <w:tcPr>
            <w:tcW w:w="2906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R$ 2.549,00</w:t>
            </w:r>
          </w:p>
        </w:tc>
      </w:tr>
      <w:tr>
        <w:trPr>
          <w:trHeight w:val="2473" w:hRule="atLeast"/>
        </w:trPr>
        <w:tc>
          <w:tcPr>
            <w:tcW w:w="912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Ponto De Acesso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Tipo: Wi-Fi 6 Corporativo 4x4 Mimo (Multiple-Input Multiple-Output)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Padrão: Wifi802.11a/B/G; Wi-Fi 4/Wi-Fi 5/Wi-Fi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Características Adicionais: Alimentação Poe+Poe Passivo(48v); Com Injetor Poe 48v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Frequência Nominal: 2.4 e 5.0 MHz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Uso: Indoor (interno para fixação em parede ou teto)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Marca: Ubiquiti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Modelo de Referência: UAP-AC-PRO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609339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2.100,00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12.600,00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 (</w:t>
            </w: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Garantia On Site)</w:t>
            </w:r>
          </w:p>
        </w:tc>
      </w:tr>
      <w:tr>
        <w:trPr>
          <w:trHeight w:val="2473" w:hRule="atLeast"/>
        </w:trPr>
        <w:tc>
          <w:tcPr>
            <w:tcW w:w="912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Ponto De Acesso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Tipo: Wi-Fi 6 Corporativo 4x4 Mimo (Multiple-Input Multiple-Output)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Padrão: Wifi802.11a/B/G; Wi-Fi 4/Wi-Fi 5/Wi-Fi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Características Adicionais: Antena Interna, Alimentação Poe+Poe Passivo(48v); Com Injetor Poe 48v, dispõe de recurso Mesh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Frequência Nominal: 2.4 e 5.0 MHz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Velocidade Wireless: 1.200 Mbps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Uso: Outdoor (externo para fixação em poste)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Marca: Ubiquiti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Modelo de Referência: UAP-AC-M-PRO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603936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8.200,00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16.400,00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 (</w:t>
            </w: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Garantia On Site)</w:t>
            </w:r>
          </w:p>
        </w:tc>
      </w:tr>
      <w:tr>
        <w:trPr>
          <w:trHeight w:val="2473" w:hRule="atLeast"/>
        </w:trPr>
        <w:tc>
          <w:tcPr>
            <w:tcW w:w="912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Fonte Poe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Padrão: 802.3af (Wi-Fi)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Frequência: 60 HZ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Tensão Alimentação: Bivolt (110/220 V)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Aplicação: Alimentação De Pontos De Acesso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Conexão: 2 X RJ-45 Fêmeas Operando Em Gigabit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Saída: 48 v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Tipo: Injetor Poe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426731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203,00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2.030,00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</w:t>
            </w:r>
          </w:p>
        </w:tc>
      </w:tr>
      <w:tr>
        <w:trPr>
          <w:trHeight w:val="2473" w:hRule="atLeast"/>
        </w:trPr>
        <w:tc>
          <w:tcPr>
            <w:tcW w:w="912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Repetidor de Sinal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Padrão: Wi-Fi 802.11a/b/g/n/ac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Frequência de operação: 2,4 e 5 GHz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Tensão Alimentação: 110/220 V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Cobertura: 80 m</w:t>
            </w:r>
            <w:r>
              <w:rPr>
                <w:rFonts w:eastAsia="Times New Roman" w:cs="Calibri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²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Características: dispõe de recurso Mesh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Garantia: 12 meses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404260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217,80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2.178,00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</w:t>
            </w:r>
          </w:p>
        </w:tc>
      </w:tr>
      <w:tr>
        <w:trPr>
          <w:trHeight w:val="2473" w:hRule="atLeast"/>
        </w:trPr>
        <w:tc>
          <w:tcPr>
            <w:tcW w:w="912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before="0" w:after="200"/>
              <w:jc w:val="lef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Switch Core</w:t>
            </w:r>
            <w:r>
              <w:rPr>
                <w:color w:val="000000"/>
              </w:rPr>
              <w:t xml:space="preserve"> (10gbit ethernet (10G Base T))</w:t>
              <w:br/>
              <w:t>Portas: Mínimo de 16 portas 10G Base T</w:t>
              <w:br/>
              <w:t>Implementação avançada de hardware baseada em classificador e tempo para segurança e priorização de L2 (MAC), L3 (IP) e L4 (portas de transporte UDP/TCP)</w:t>
              <w:br/>
              <w:t>Canal de porta selecionável/hashing LAG (802.3ad – 802.1AX) L2/L3/L4 para tolerância a falhas e compartilhamento de carga Ethernet</w:t>
              <w:br/>
              <w:t>VLAN de voz com detecção de protocolos SIP, H323 e SCCP e configuração automática de QoS e VLAN de telefones IP LLDP-MED</w:t>
              <w:br/>
              <w:t>Autenticação avançada com métodos DOT1X</w:t>
              <w:br/>
              <w:t>Roteamento estático e dinâmico IPv4/IPv6, incluindo Proxy ARP, OSPF, roteamento baseado em política</w:t>
              <w:br/>
              <w:t>Implantações de multicast L2 automático IGMP+</w:t>
              <w:br/>
              <w:t>Implementação avançada de segurança IPv4/IPv6, incluindo detecção de código malicioso, DHCP Snooping, proteção de IP Source Guard e mitigação de ataque DoS</w:t>
              <w:br/>
              <w:t xml:space="preserve">Garantia onsite: 60 meses </w:t>
            </w: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(Fornecida pelo fabricante ou revendedor)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618767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9.890,36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9.890,36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/>
              <w:t>60 meses (Garantia On Site)</w:t>
            </w:r>
          </w:p>
        </w:tc>
      </w:tr>
      <w:tr>
        <w:trPr>
          <w:trHeight w:val="573" w:hRule="atLeast"/>
        </w:trPr>
        <w:tc>
          <w:tcPr>
            <w:tcW w:w="6516" w:type="dxa"/>
            <w:gridSpan w:val="7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Total do Grupo 07</w:t>
            </w:r>
          </w:p>
        </w:tc>
        <w:tc>
          <w:tcPr>
            <w:tcW w:w="2906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R$ 43.098,36</w:t>
            </w:r>
          </w:p>
        </w:tc>
      </w:tr>
      <w:tr>
        <w:trPr>
          <w:trHeight w:val="2473" w:hRule="atLeast"/>
        </w:trPr>
        <w:tc>
          <w:tcPr>
            <w:tcW w:w="912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Estante Rack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Padrão: 19" X 6u X 430 mm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Estrutura: Aço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Portas: Laterais E Traseiras Removíveis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Porta Frontal: Vidro Temperado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399251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370,00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3.700,00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</w:t>
            </w:r>
          </w:p>
        </w:tc>
      </w:tr>
      <w:tr>
        <w:trPr>
          <w:trHeight w:val="2487" w:hRule="atLeast"/>
        </w:trPr>
        <w:tc>
          <w:tcPr>
            <w:tcW w:w="912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Mouse Pad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Material: Poliuretano Injetado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Acabamento Superficial: Tecido Sintético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Tipo: Ergonômico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2"/>
                <w:szCs w:val="22"/>
              </w:rPr>
              <w:t>373157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  <w:sz w:val="22"/>
                <w:szCs w:val="22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17,20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3.440,00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</w:t>
            </w:r>
          </w:p>
        </w:tc>
      </w:tr>
      <w:tr>
        <w:trPr>
          <w:trHeight w:val="2276" w:hRule="atLeast"/>
        </w:trPr>
        <w:tc>
          <w:tcPr>
            <w:tcW w:w="912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Apoio Punho Teclado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Material: Tecido E Gel Especial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Tipo: Ergonômico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Aplicação: Digitação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262442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33,89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6.778,00</w:t>
            </w:r>
          </w:p>
          <w:p>
            <w:pPr>
              <w:pStyle w:val="Contedodatabela"/>
              <w:widowControl w:val="false"/>
              <w:spacing w:before="0" w:after="20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</w:t>
            </w:r>
          </w:p>
        </w:tc>
      </w:tr>
      <w:tr>
        <w:trPr>
          <w:trHeight w:val="2730" w:hRule="atLeast"/>
        </w:trPr>
        <w:tc>
          <w:tcPr>
            <w:tcW w:w="912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Adaptador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Conexão: HDMI Macho X VGA Fêmea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Características Adicionais: Resolução Mínima: 1080p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Aplicação: Uso Em Vídeo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445782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16,00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480,00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</w:t>
            </w:r>
          </w:p>
        </w:tc>
      </w:tr>
      <w:tr>
        <w:trPr>
          <w:trHeight w:val="624" w:hRule="atLeast"/>
        </w:trPr>
        <w:tc>
          <w:tcPr>
            <w:tcW w:w="6516" w:type="dxa"/>
            <w:gridSpan w:val="7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Total do Grupo 08</w:t>
            </w:r>
          </w:p>
        </w:tc>
        <w:tc>
          <w:tcPr>
            <w:tcW w:w="2906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R$ 14.398,00</w:t>
            </w:r>
          </w:p>
        </w:tc>
      </w:tr>
      <w:tr>
        <w:trPr>
          <w:trHeight w:val="5610" w:hRule="atLeast"/>
        </w:trPr>
        <w:tc>
          <w:tcPr>
            <w:tcW w:w="912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Servidor de Storage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CPU: Processador ARM 64 ou x86-64, com clock de no mínimo 1.7GHz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Memória do sistema: mínimo de 4GB DDR3 ou superior</w:t>
              <w:br/>
              <w:t>Baia de unidade: 4 x 3,5 polegadas SATA 6 Gb/s, HDD SATA de 3,5 polegadas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Hot-swappable:</w:t>
              <w:tab/>
              <w:t>Sim</w:t>
              <w:br/>
              <w:t>Suporte para aceleração de cache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SSD: Sim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Porta Gigabit Ethernet (RJ45): 2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Jumbo Frame:</w:t>
              <w:tab/>
              <w:t>Sim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Portas USB 3: Pelo menos 1 porta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LEDs Indicadores: Energia, Status, LAN, USB, HDD1-4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Fonte de Alimentação: bivolt 100-240 V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Deve possuir cooler de refrigeração para os sistemas de discos / CPU;</w:t>
              <w:br/>
              <w:t>Aviso do sistema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Buzzer Networking TCP/IP: (IPv4 &amp; IPv6: Dual Stack)</w:t>
              <w:br/>
              <w:t>NICs com jumbo frame (failover, configuração multi-IP, port trunking/NIC teaming)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Protocolos: CIFS/SMB, AFP, NFS, FTP, FTPS, SFTP, TFTP, HTTP(S), Telnet, SSH, iSCSI, SNMP, SMTP, SMSC, UPnP &amp; Bonjour Discovery</w:t>
              <w:br/>
              <w:t>Implementa VPN Server: Acesso remoto seguro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Serviços VPN PPTP, L2TP/IPsec e Open VPN</w:t>
              <w:br/>
              <w:t>Integração com Serviços de Diretório: Microsoft Active Directory (AD), Domain controller ou cliente LDAP, Login de sessão de domínio via CIFS/SMB, AFP, FTP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Software: Desenvolvido pelo próprio fabricante do Hardware do equipamento, com Administração via Web, Barra de ferramentas e painel de controle inteligente para exibição de status do sistema, instalação de módulos adicionais e configuração completa da solução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Deve Permitir atualizações diretamente da interface de administração web</w:t>
            </w:r>
          </w:p>
          <w:p>
            <w:pPr>
              <w:pStyle w:val="Normal"/>
              <w:widowControl w:val="false"/>
              <w:bidi w:val="0"/>
              <w:spacing w:before="0" w:after="200"/>
              <w:jc w:val="left"/>
              <w:rPr>
                <w:color w:val="000000"/>
              </w:rPr>
            </w:pPr>
            <w:r>
              <w:rPr>
                <w:color w:val="000000"/>
              </w:rPr>
              <w:t>Deve permitir controle inteligente do cooler/ventilador</w:t>
              <w:br/>
              <w:t>Deve permitir monitoração dos principais aspectos da solução diretamente na interface web (Temperatura, espaço em disco, uso do processador e da memória)</w:t>
            </w:r>
          </w:p>
          <w:p>
            <w:pPr>
              <w:pStyle w:val="Normal"/>
              <w:widowControl w:val="false"/>
              <w:bidi w:val="0"/>
              <w:spacing w:before="0" w:after="200"/>
              <w:jc w:val="left"/>
              <w:rPr>
                <w:color w:val="000000"/>
              </w:rPr>
            </w:pPr>
            <w:r>
              <w:rPr>
                <w:color w:val="000000"/>
              </w:rPr>
              <w:t>Deve implementar Lixeira de rede para eliminação de arquivos via CIFS / SMB, AFP e File Station</w:t>
            </w:r>
          </w:p>
          <w:p>
            <w:pPr>
              <w:pStyle w:val="Normal"/>
              <w:widowControl w:val="false"/>
              <w:bidi w:val="0"/>
              <w:spacing w:before="0" w:after="200"/>
              <w:jc w:val="left"/>
              <w:rPr>
                <w:color w:val="000000"/>
              </w:rPr>
            </w:pPr>
            <w:r>
              <w:rPr>
                <w:color w:val="000000"/>
              </w:rPr>
              <w:t>Deve implementar Logs abrangentes (eventos e conexão)</w:t>
            </w:r>
          </w:p>
          <w:p>
            <w:pPr>
              <w:pStyle w:val="Normal"/>
              <w:widowControl w:val="false"/>
              <w:bidi w:val="0"/>
              <w:spacing w:before="0" w:after="200"/>
              <w:jc w:val="left"/>
              <w:rPr>
                <w:color w:val="000000"/>
              </w:rPr>
            </w:pPr>
            <w:r>
              <w:rPr>
                <w:color w:val="000000"/>
              </w:rPr>
              <w:t>Deve permitir restaurar configurações para o padrão de fábrica diretamente da interface web de administração</w:t>
            </w:r>
          </w:p>
          <w:p>
            <w:pPr>
              <w:pStyle w:val="Normal"/>
              <w:widowControl w:val="false"/>
              <w:bidi w:val="0"/>
              <w:spacing w:before="0" w:after="200"/>
              <w:jc w:val="left"/>
              <w:rPr>
                <w:color w:val="000000"/>
              </w:rPr>
            </w:pPr>
            <w:r>
              <w:rPr>
                <w:color w:val="000000"/>
              </w:rPr>
              <w:t>Deve permitir configuração do protocolo iSCSI (IP SAN) Target diretamente da interface Web</w:t>
            </w:r>
          </w:p>
          <w:p>
            <w:pPr>
              <w:pStyle w:val="Normal"/>
              <w:widowControl w:val="false"/>
              <w:bidi w:val="0"/>
              <w:spacing w:before="0" w:after="200"/>
              <w:jc w:val="left"/>
              <w:rPr>
                <w:color w:val="000000"/>
              </w:rPr>
            </w:pPr>
            <w:r>
              <w:rPr>
                <w:color w:val="000000"/>
              </w:rPr>
              <w:t>Deve permitir expansão on-line de capacidade LUN iscsi diretamente da interface web</w:t>
            </w:r>
          </w:p>
          <w:p>
            <w:pPr>
              <w:pStyle w:val="Normal"/>
              <w:widowControl w:val="false"/>
              <w:bidi w:val="0"/>
              <w:spacing w:before="0" w:after="200"/>
              <w:jc w:val="left"/>
              <w:rPr>
                <w:color w:val="000000"/>
              </w:rPr>
            </w:pPr>
            <w:r>
              <w:rPr>
                <w:color w:val="000000"/>
              </w:rPr>
              <w:t>Deve implementar Backup de LUN iSCSI, One-time Snapshot e Restore</w:t>
            </w:r>
          </w:p>
          <w:p>
            <w:pPr>
              <w:pStyle w:val="Normal"/>
              <w:widowControl w:val="false"/>
              <w:bidi w:val="0"/>
              <w:spacing w:before="0" w:after="200"/>
              <w:jc w:val="left"/>
              <w:rPr>
                <w:color w:val="000000"/>
              </w:rPr>
            </w:pPr>
            <w:r>
              <w:rPr>
                <w:color w:val="000000"/>
              </w:rPr>
              <w:t>Deve implementar Volume de Disco Virtual (via iSCSI initiator)</w:t>
            </w:r>
          </w:p>
          <w:p>
            <w:pPr>
              <w:pStyle w:val="Normal"/>
              <w:widowControl w:val="false"/>
              <w:bidi w:val="0"/>
              <w:spacing w:before="0" w:after="200"/>
              <w:jc w:val="left"/>
              <w:rPr>
                <w:color w:val="000000"/>
              </w:rPr>
            </w:pPr>
            <w:r>
              <w:rPr>
                <w:color w:val="000000"/>
              </w:rPr>
              <w:t>Deve possuir função de Print Server</w:t>
            </w:r>
          </w:p>
          <w:p>
            <w:pPr>
              <w:pStyle w:val="Normal"/>
              <w:widowControl w:val="false"/>
              <w:bidi w:val="0"/>
              <w:spacing w:before="0" w:after="200"/>
              <w:jc w:val="left"/>
              <w:rPr>
                <w:color w:val="000000"/>
              </w:rPr>
            </w:pPr>
            <w:r>
              <w:rPr>
                <w:color w:val="000000"/>
              </w:rPr>
              <w:t>Deve implementar controle de privilégio baseado em nome de domínio e IP</w:t>
            </w:r>
          </w:p>
          <w:p>
            <w:pPr>
              <w:pStyle w:val="Normal"/>
              <w:widowControl w:val="false"/>
              <w:bidi w:val="0"/>
              <w:spacing w:before="0" w:after="200"/>
              <w:jc w:val="left"/>
              <w:rPr>
                <w:color w:val="000000"/>
              </w:rPr>
            </w:pPr>
            <w:r>
              <w:rPr>
                <w:color w:val="000000"/>
              </w:rPr>
              <w:t>Deve permitir gerenciamento de armazenamento, como thin provisioning, recuperação de espaço automática, Single Disk, JBOD, RAID 0, 1, 5 e single JBOD</w:t>
              <w:br/>
              <w:t>Expansão de capacidade RAID online e Migração do Nível RAID On-line</w:t>
            </w:r>
          </w:p>
          <w:p>
            <w:pPr>
              <w:pStyle w:val="Normal"/>
              <w:widowControl w:val="false"/>
              <w:bidi w:val="0"/>
              <w:spacing w:before="0" w:after="200"/>
              <w:jc w:val="left"/>
              <w:rPr>
                <w:color w:val="000000"/>
              </w:rPr>
            </w:pPr>
            <w:r>
              <w:rPr>
                <w:color w:val="000000"/>
              </w:rPr>
              <w:t>Deve permitir a implementação de cache SSD de somente leitura / leitura / gravação</w:t>
            </w:r>
          </w:p>
          <w:p>
            <w:pPr>
              <w:pStyle w:val="Normal"/>
              <w:widowControl w:val="false"/>
              <w:bidi w:val="0"/>
              <w:spacing w:before="0" w:after="200"/>
              <w:jc w:val="left"/>
              <w:rPr>
                <w:color w:val="000000"/>
              </w:rPr>
            </w:pPr>
            <w:r>
              <w:rPr>
                <w:color w:val="000000"/>
              </w:rPr>
              <w:t>Permitir Gerenciamento de energia e Wake on LAN</w:t>
            </w:r>
          </w:p>
          <w:p>
            <w:pPr>
              <w:pStyle w:val="Normal"/>
              <w:widowControl w:val="false"/>
              <w:bidi w:val="0"/>
              <w:spacing w:before="0" w:after="200"/>
              <w:jc w:val="left"/>
              <w:rPr>
                <w:color w:val="000000"/>
              </w:rPr>
            </w:pPr>
            <w:r>
              <w:rPr>
                <w:color w:val="000000"/>
              </w:rPr>
              <w:t>Permitir que o disco rígido interno entre em modo standby</w:t>
              <w:br/>
              <w:t>Implementar agendamento de power on/off</w:t>
            </w:r>
          </w:p>
          <w:p>
            <w:pPr>
              <w:pStyle w:val="Normal"/>
              <w:widowControl w:val="false"/>
              <w:bidi w:val="0"/>
              <w:spacing w:before="0" w:after="200"/>
              <w:jc w:val="left"/>
              <w:rPr>
                <w:color w:val="000000"/>
              </w:rPr>
            </w:pPr>
            <w:r>
              <w:rPr>
                <w:color w:val="000000"/>
              </w:rPr>
              <w:t>Implementar suporte USB e rede UPS com gestão SNMP</w:t>
            </w:r>
          </w:p>
          <w:p>
            <w:pPr>
              <w:pStyle w:val="Normal"/>
              <w:widowControl w:val="false"/>
              <w:bidi w:val="0"/>
              <w:spacing w:before="0" w:after="200"/>
              <w:jc w:val="left"/>
              <w:rPr>
                <w:color w:val="000000"/>
              </w:rPr>
            </w:pPr>
            <w:r>
              <w:rPr>
                <w:color w:val="000000"/>
              </w:rPr>
              <w:t>Gestão unificada de privilégios, Gestão de configuração unificada, Suporta modo de configuração central</w:t>
              <w:br/>
              <w:t>Registro de nome de host gratuito (DDNS)</w:t>
              <w:br/>
              <w:t>Gerenciamento de arquivos via web com criptografia HTTPS de 2048 bits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  <w:shd w:fill="auto" w:val="clear"/>
              </w:rPr>
              <w:t>469726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9.087,00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18.174,00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36 meses (</w:t>
            </w: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Garantia On Site)</w:t>
            </w:r>
          </w:p>
        </w:tc>
      </w:tr>
      <w:tr>
        <w:trPr>
          <w:trHeight w:val="2730" w:hRule="atLeast"/>
        </w:trPr>
        <w:tc>
          <w:tcPr>
            <w:tcW w:w="912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Unidade de Disco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Tipo: Rígido (HDD)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Interface: SATA 6 Gb/s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Capacidade: 8TB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Tamanho: 3,5 Polegadas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Velocidade: 7.200 RPM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Cache: 256 MB</w:t>
            </w:r>
          </w:p>
          <w:p>
            <w:pPr>
              <w:pStyle w:val="Normal"/>
              <w:widowControl w:val="false"/>
              <w:bidi w:val="0"/>
              <w:spacing w:before="0" w:after="200"/>
              <w:jc w:val="left"/>
              <w:rPr>
                <w:color w:val="000000"/>
              </w:rPr>
            </w:pPr>
            <w:r>
              <w:rPr>
                <w:color w:val="000000"/>
              </w:rPr>
              <w:t>Aplicação: Servidor de Storage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  <w:shd w:fill="auto" w:val="clear"/>
              </w:rPr>
              <w:t>610790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1.419,92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11.359,36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</w:t>
            </w:r>
          </w:p>
        </w:tc>
      </w:tr>
      <w:tr>
        <w:trPr>
          <w:trHeight w:val="2730" w:hRule="atLeast"/>
        </w:trPr>
        <w:tc>
          <w:tcPr>
            <w:tcW w:w="912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Unidade de Disco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Tipo: Rígido (HDD)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Interface: SATA 6 Gb/s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Capacidade: 4TB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Tamanho: 3,5 Polegadas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Velocidade: 5.400 RPM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Cache: 256 MB</w:t>
            </w:r>
          </w:p>
          <w:p>
            <w:pPr>
              <w:pStyle w:val="Normal"/>
              <w:widowControl w:val="false"/>
              <w:bidi w:val="0"/>
              <w:spacing w:before="0" w:after="200"/>
              <w:jc w:val="left"/>
              <w:rPr>
                <w:color w:val="000000"/>
              </w:rPr>
            </w:pPr>
            <w:r>
              <w:rPr>
                <w:color w:val="000000"/>
              </w:rPr>
              <w:t>Aplicação: Servidor de Storage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  <w:shd w:fill="auto" w:val="clear"/>
              </w:rPr>
              <w:t>610791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690,00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5.520,00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</w:t>
            </w:r>
          </w:p>
        </w:tc>
      </w:tr>
      <w:tr>
        <w:trPr>
          <w:trHeight w:val="2730" w:hRule="atLeast"/>
        </w:trPr>
        <w:tc>
          <w:tcPr>
            <w:tcW w:w="912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Unidade de Disco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Tipo: Rígido (HDD)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Interface: SATA 6 Gb/s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Capacidade: 4TB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Tamanho: 3,5 Polegadas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Velocidade: 7.200 RPM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Cache: 256 MB</w:t>
            </w:r>
          </w:p>
          <w:p>
            <w:pPr>
              <w:pStyle w:val="Normal"/>
              <w:widowControl w:val="false"/>
              <w:bidi w:val="0"/>
              <w:spacing w:before="0" w:after="200"/>
              <w:jc w:val="left"/>
              <w:rPr>
                <w:color w:val="000000"/>
              </w:rPr>
            </w:pPr>
            <w:r>
              <w:rPr>
                <w:color w:val="000000"/>
              </w:rPr>
              <w:t>Aplicação: Servidor de Toragem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  <w:shd w:fill="auto" w:val="clear"/>
              </w:rPr>
              <w:t>465015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875,35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7.002,80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</w:t>
            </w:r>
          </w:p>
        </w:tc>
      </w:tr>
      <w:tr>
        <w:trPr>
          <w:trHeight w:val="647" w:hRule="atLeast"/>
        </w:trPr>
        <w:tc>
          <w:tcPr>
            <w:tcW w:w="6516" w:type="dxa"/>
            <w:gridSpan w:val="7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Total do Grupo 09</w:t>
            </w:r>
          </w:p>
        </w:tc>
        <w:tc>
          <w:tcPr>
            <w:tcW w:w="2906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R$ 42.056,16</w:t>
            </w:r>
          </w:p>
        </w:tc>
      </w:tr>
      <w:tr>
        <w:trPr>
          <w:trHeight w:val="2730" w:hRule="atLeast"/>
        </w:trPr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ISOLADO</w:t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Monitor de Computador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Tamanho Tela: 20 Polegadas ou maior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Tipo de Tela: LED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Formato de Tela: Widescreen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Qualidade de Imagem: Full HD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A</w:t>
            </w:r>
            <w:r>
              <w:rPr>
                <w:rFonts w:eastAsia="Times New Roman" w:cs="Calibri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kern w:val="2"/>
                <w:sz w:val="20"/>
                <w:szCs w:val="22"/>
                <w:lang w:val="pt-BR" w:eastAsia="zh-CN" w:bidi="ar-SA"/>
              </w:rPr>
              <w:t>juste: Ajuste De Rotação, Altura E Inclinação Do Display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rFonts w:eastAsia="Times New Roman" w:cs="Calibri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kern w:val="2"/>
                <w:sz w:val="20"/>
                <w:szCs w:val="22"/>
                <w:lang w:val="pt-BR" w:eastAsia="zh-CN" w:bidi="ar-SA"/>
              </w:rPr>
              <w:t>Entrada de vídeo: ao menos duas (HDMI, VGA, DVI, DisplayPort, por exemplo)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rFonts w:eastAsia="Times New Roman" w:cs="Calibri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kern w:val="2"/>
                <w:sz w:val="20"/>
                <w:szCs w:val="22"/>
                <w:lang w:val="pt-BR" w:eastAsia="zh-CN" w:bidi="ar-SA"/>
              </w:rPr>
              <w:t xml:space="preserve">Alimentação: </w:t>
            </w:r>
            <w:r>
              <w:rPr>
                <w:rFonts w:eastAsia="Times New Roman" w:cs="Calibri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kern w:val="2"/>
                <w:sz w:val="21"/>
                <w:szCs w:val="22"/>
                <w:lang w:val="pt-BR" w:eastAsia="zh-CN" w:bidi="ar-SA"/>
              </w:rPr>
              <w:t>Bivolt (127-240V) Automática, com cabo de alimentação Padrão Brasileiro ABNT NBR-14136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rFonts w:eastAsia="Times New Roman" w:cs="Calibri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kern w:val="2"/>
                <w:sz w:val="20"/>
                <w:szCs w:val="22"/>
                <w:lang w:val="pt-BR" w:eastAsia="zh-CN" w:bidi="ar-SA"/>
              </w:rPr>
              <w:t>Garantia On Site: 36</w:t>
            </w: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 xml:space="preserve"> MESES </w:t>
            </w: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(Fornecida pelo fabricante ou revendedor)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451812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732,43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29.297,20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36 meses (</w:t>
            </w: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Garantia On Site)</w:t>
            </w:r>
          </w:p>
        </w:tc>
      </w:tr>
      <w:tr>
        <w:trPr>
          <w:trHeight w:val="2730" w:hRule="atLeast"/>
        </w:trPr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ISOLADO</w:t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Unidade de Disco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Tipo: Disco SSD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Capacidade: 240 GB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Tamanho: 2,5 POL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Interface: SATA</w:t>
            </w:r>
          </w:p>
          <w:p>
            <w:pPr>
              <w:pStyle w:val="Contedodatabela"/>
              <w:widowControl w:val="false"/>
              <w:spacing w:before="0" w:after="200"/>
              <w:jc w:val="both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Velocidade: 2.400 MB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</w:rPr>
              <w:t>603462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105,90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5.295,00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12 meses</w:t>
            </w:r>
          </w:p>
        </w:tc>
      </w:tr>
      <w:tr>
        <w:trPr>
          <w:trHeight w:val="2730" w:hRule="atLeast"/>
        </w:trPr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ISOLADO</w:t>
            </w: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2328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jc w:val="left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Servidor VM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Formato: Gabinete rack 1U ou 2U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Quantidade de Processadores: 2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Núcleos por processador: 8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Características do processador: Mínimo de 2.8 GHz, 8 núcleos/16 threads, 10.4GT/s, 12M Cache, modo Turbo, TDP 105W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Suporte memória DDR4-2666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Memória: mínimo de 64 GB RAM DDR4 (RDIMM, Dual Rank, BCC)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Armazenamento: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Controladora de RAID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Chassis com capacidade de até 8 discos SSD/SAS/SATA de 2.5 polegadas ou 3.5 polegadas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3 x 512 SSD SATA Enterprise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3 x 4TB HDD SATA 7200rpm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Interfaces de Rede: 2 interfaces de rede Gigabit Ethernet integradas, 1 interface 10gbit Ethernet (10G Base T)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Fonte de Alimentação: Dual, Hot-Plug, 120-240V ac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Com recurso de monitoramento remoto de estado físico da máquina (BMC - Baseboard Management Controller)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Com placa adicional de gerenciamento remoto, acessível através endereço IP independente, usando protocolo https ou ssh, com capacidade de ligar, desligar, reiniciar o servidor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Modulo Trusted Platform: 2.0 V3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UEFI BIOS Boot Mode</w:t>
            </w:r>
          </w:p>
          <w:p>
            <w:pPr>
              <w:pStyle w:val="Normal"/>
              <w:widowControl w:val="false"/>
              <w:bidi w:val="0"/>
              <w:jc w:val="left"/>
              <w:rPr>
                <w:color w:val="000000"/>
              </w:rPr>
            </w:pPr>
            <w:r>
              <w:rPr>
                <w:color w:val="000000"/>
              </w:rPr>
              <w:t>Trilhos de rack: Trilhos deslizantes</w:t>
            </w:r>
          </w:p>
          <w:p>
            <w:pPr>
              <w:pStyle w:val="Normal"/>
              <w:widowControl w:val="false"/>
              <w:bidi w:val="0"/>
              <w:spacing w:before="0" w:after="20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Garantia onsite: 60 meses </w:t>
            </w:r>
            <w:r>
              <w:rPr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</w:rPr>
              <w:t>(Fornecida pelo fabricante ou revendedor)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472497</w:t>
            </w:r>
          </w:p>
        </w:tc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UN</w:t>
            </w:r>
          </w:p>
        </w:tc>
        <w:tc>
          <w:tcPr>
            <w:tcW w:w="57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90.183,00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270.549,00</w:t>
            </w:r>
          </w:p>
        </w:tc>
        <w:tc>
          <w:tcPr>
            <w:tcW w:w="75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Única</w:t>
            </w:r>
          </w:p>
        </w:tc>
        <w:tc>
          <w:tcPr>
            <w:tcW w:w="8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60 meses (Garantia On Site)</w:t>
            </w:r>
          </w:p>
        </w:tc>
      </w:tr>
      <w:tr>
        <w:trPr>
          <w:trHeight w:val="735" w:hRule="atLeast"/>
        </w:trPr>
        <w:tc>
          <w:tcPr>
            <w:tcW w:w="786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Valor total da demanda</w:t>
            </w:r>
          </w:p>
        </w:tc>
        <w:tc>
          <w:tcPr>
            <w:tcW w:w="1562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pacing w:before="0" w:after="20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R$ 2.213.302,08</w:t>
            </w:r>
          </w:p>
        </w:tc>
      </w:tr>
    </w:tbl>
    <w:p>
      <w:pPr>
        <w:pStyle w:val="Normal"/>
        <w:rPr>
          <w:rFonts w:ascii="Calibri" w:hAnsi="Calibri" w:eastAsia="Calibri" w:cs="Calibri" w:asciiTheme="minorHAnsi" w:cstheme="minorHAnsi" w:hAnsiTheme="minorHAnsi"/>
          <w:sz w:val="24"/>
        </w:rPr>
      </w:pPr>
      <w:r>
        <w:rPr>
          <w:rFonts w:eastAsia="Calibri" w:cs="Calibri" w:cstheme="minorHAnsi" w:ascii="Calibri" w:hAnsi="Calibri"/>
          <w:sz w:val="24"/>
        </w:rPr>
      </w:r>
    </w:p>
    <w:p>
      <w:pPr>
        <w:pStyle w:val="Normal"/>
        <w:rPr>
          <w:rFonts w:ascii="Calibri" w:hAnsi="Calibri" w:eastAsia="Calibri" w:cs="Calibri" w:asciiTheme="minorHAnsi" w:cstheme="minorHAnsi" w:hAnsiTheme="minorHAnsi"/>
          <w:sz w:val="24"/>
        </w:rPr>
      </w:pPr>
      <w:r>
        <w:rPr>
          <w:rFonts w:eastAsia="Calibri" w:cs="Calibri" w:cstheme="minorHAnsi" w:ascii="Calibri" w:hAnsi="Calibri"/>
          <w:sz w:val="24"/>
        </w:rPr>
      </w:r>
    </w:p>
    <w:p>
      <w:pPr>
        <w:pStyle w:val="Normal"/>
        <w:rPr>
          <w:rFonts w:ascii="Calibri" w:hAnsi="Calibri" w:eastAsia="Calibri" w:cs="Calibri" w:asciiTheme="minorHAnsi" w:cstheme="minorHAnsi" w:hAnsiTheme="minorHAnsi"/>
          <w:sz w:val="24"/>
        </w:rPr>
      </w:pPr>
      <w:r>
        <w:rPr>
          <w:rFonts w:eastAsia="Calibri" w:cs="Calibri" w:cstheme="minorHAnsi" w:ascii="Calibri" w:hAnsi="Calibri"/>
          <w:sz w:val="24"/>
        </w:rPr>
      </w:r>
    </w:p>
    <w:p>
      <w:pPr>
        <w:pStyle w:val="Normal"/>
        <w:jc w:val="right"/>
        <w:rPr>
          <w:rFonts w:ascii="Calibri" w:hAnsi="Calibri" w:eastAsia="Calibri" w:cs="Calibri" w:asciiTheme="minorHAnsi" w:cstheme="minorHAnsi" w:hAnsiTheme="minorHAnsi"/>
          <w:color w:val="000000"/>
          <w:sz w:val="24"/>
        </w:rPr>
      </w:pPr>
      <w:r>
        <w:rPr>
          <w:rFonts w:eastAsia="Calibri" w:cs="Calibri" w:cstheme="minorHAnsi" w:ascii="Calibri" w:hAnsi="Calibri"/>
          <w:color w:val="000000"/>
          <w:sz w:val="24"/>
        </w:rPr>
      </w:r>
    </w:p>
    <w:p>
      <w:pPr>
        <w:pStyle w:val="Normal"/>
        <w:ind w:firstLine="708"/>
        <w:jc w:val="both"/>
        <w:rPr/>
      </w:pPr>
      <w:r>
        <w:rPr>
          <w:rFonts w:eastAsia="Calibri" w:cs="Calibri" w:ascii="Calibri" w:hAnsi="Calibri" w:asciiTheme="minorHAnsi" w:cstheme="minorHAnsi" w:hAnsiTheme="minorHAnsi"/>
          <w:color w:val="000000"/>
          <w:sz w:val="24"/>
        </w:rPr>
        <w:t>Declaramos conhecer a legislação de referência desta licitação e que os produtos serão fornecidos de acordo com as condições estabelecidas neste Edital, o que conhecemos e aceitamos em todos os termos, inclusive quando ao pagamento e outros.</w:t>
      </w:r>
    </w:p>
    <w:p>
      <w:pPr>
        <w:pStyle w:val="Normal"/>
        <w:ind w:firstLine="708"/>
        <w:jc w:val="both"/>
        <w:rPr/>
      </w:pPr>
      <w:r>
        <w:rPr/>
      </w:r>
    </w:p>
    <w:p>
      <w:pPr>
        <w:pStyle w:val="Normal"/>
        <w:ind w:firstLine="708"/>
        <w:jc w:val="both"/>
        <w:rPr/>
      </w:pPr>
      <w:r>
        <w:rPr>
          <w:rFonts w:eastAsia="Calibri" w:cs="Calibri" w:ascii="Calibri" w:hAnsi="Calibri" w:asciiTheme="minorHAnsi" w:cstheme="minorHAnsi" w:hAnsiTheme="minorHAnsi"/>
          <w:color w:val="000000"/>
          <w:sz w:val="24"/>
        </w:rPr>
        <w:t>Nos preços indicados acima estão inclusos, além dos produtos todos os custos, benefícios, encargos, tributos e demais contribuições pertinentes. Declaramos cumprir todas as normas legais e regulamentares relativas à documentação, obtendo todas as autorizações que se fizerem necessárias junto aos órgãos públicos competentes.</w:t>
      </w:r>
    </w:p>
    <w:p>
      <w:pPr>
        <w:pStyle w:val="Normal"/>
        <w:ind w:firstLine="708"/>
        <w:jc w:val="both"/>
        <w:rPr/>
      </w:pPr>
      <w:r>
        <w:rPr/>
      </w:r>
    </w:p>
    <w:p>
      <w:pPr>
        <w:pStyle w:val="Normal"/>
        <w:ind w:firstLine="708"/>
        <w:jc w:val="both"/>
        <w:rPr/>
      </w:pPr>
      <w:r>
        <w:rPr>
          <w:rFonts w:eastAsia="Calibri" w:cs="Calibri" w:ascii="Calibri" w:hAnsi="Calibri" w:asciiTheme="minorHAnsi" w:cstheme="minorHAnsi" w:hAnsiTheme="minorHAnsi"/>
          <w:color w:val="000000"/>
          <w:sz w:val="24"/>
        </w:rPr>
        <w:t>Esta proposta é válida por...............................(mínimo 60 dias), a contar da data da realização da licitação, para assinatura do Termo de Registro de Preços. Os preços registrados em Ata terão validade de 12 (dose) meses.</w:t>
      </w:r>
    </w:p>
    <w:p>
      <w:pPr>
        <w:pStyle w:val="Normal"/>
        <w:rPr>
          <w:rFonts w:ascii="Calibri" w:hAnsi="Calibri" w:eastAsia="Calibri" w:cs="Calibri" w:asciiTheme="minorHAnsi" w:cstheme="minorHAnsi" w:hAnsiTheme="minorHAnsi"/>
          <w:color w:val="000000"/>
          <w:sz w:val="24"/>
        </w:rPr>
      </w:pPr>
      <w:r>
        <w:rPr>
          <w:rFonts w:eastAsia="Calibri" w:cs="Calibri" w:cstheme="minorHAnsi" w:ascii="Calibri" w:hAnsi="Calibri"/>
          <w:color w:val="000000"/>
          <w:sz w:val="24"/>
        </w:rPr>
      </w:r>
    </w:p>
    <w:p>
      <w:pPr>
        <w:pStyle w:val="Normal"/>
        <w:ind w:firstLine="708"/>
        <w:jc w:val="center"/>
        <w:rPr/>
      </w:pPr>
      <w:r>
        <w:rPr>
          <w:rFonts w:eastAsia="Calibri" w:cs="Calibri" w:ascii="Calibri" w:hAnsi="Calibri" w:asciiTheme="minorHAnsi" w:cstheme="minorHAnsi" w:hAnsiTheme="minorHAnsi"/>
          <w:color w:val="000000"/>
          <w:sz w:val="24"/>
        </w:rPr>
        <w:t>Cidade, 06 de novembro de 2024.</w:t>
      </w:r>
    </w:p>
    <w:p>
      <w:pPr>
        <w:pStyle w:val="Normal"/>
        <w:ind w:firstLine="708"/>
        <w:rPr>
          <w:rFonts w:ascii="Calibri" w:hAnsi="Calibri" w:eastAsia="Calibri" w:cs="Calibri" w:asciiTheme="minorHAnsi" w:cstheme="minorHAnsi" w:hAnsiTheme="minorHAnsi"/>
          <w:color w:val="000000"/>
          <w:sz w:val="24"/>
        </w:rPr>
      </w:pPr>
      <w:r>
        <w:rPr>
          <w:rFonts w:eastAsia="Calibri" w:cs="Calibri" w:ascii="Calibri" w:hAnsi="Calibri" w:asciiTheme="minorHAnsi" w:cstheme="minorHAnsi" w:hAnsiTheme="minorHAnsi"/>
          <w:color w:val="000000"/>
          <w:sz w:val="24"/>
        </w:rPr>
        <w:t xml:space="preserve"> </w:t>
      </w:r>
    </w:p>
    <w:p>
      <w:pPr>
        <w:pStyle w:val="Normal"/>
        <w:rPr>
          <w:rFonts w:ascii="Calibri" w:hAnsi="Calibri" w:eastAsia="Calibri" w:cs="Calibri" w:asciiTheme="minorHAnsi" w:cstheme="minorHAnsi" w:hAnsiTheme="minorHAnsi"/>
          <w:color w:val="000000"/>
          <w:sz w:val="24"/>
        </w:rPr>
      </w:pPr>
      <w:r>
        <w:rPr>
          <w:rFonts w:eastAsia="Calibri" w:cs="Calibri" w:cstheme="minorHAnsi" w:ascii="Calibri" w:hAnsi="Calibri"/>
          <w:color w:val="000000"/>
          <w:sz w:val="24"/>
        </w:rPr>
      </w:r>
    </w:p>
    <w:p>
      <w:pPr>
        <w:pStyle w:val="Normal"/>
        <w:jc w:val="right"/>
        <w:rPr>
          <w:rFonts w:ascii="Calibri" w:hAnsi="Calibri" w:eastAsia="Times New Roman" w:cs="Calibri" w:asciiTheme="minorHAnsi" w:cstheme="minorHAnsi" w:hAnsiTheme="minorHAnsi"/>
          <w:sz w:val="24"/>
        </w:rPr>
      </w:pPr>
      <w:r>
        <w:rPr>
          <w:rFonts w:eastAsia="Calibri" w:cs="Calibri" w:ascii="Calibri" w:hAnsi="Calibri" w:asciiTheme="minorHAnsi" w:cstheme="minorHAnsi" w:hAnsiTheme="minorHAnsi"/>
          <w:color w:val="000000"/>
          <w:sz w:val="24"/>
        </w:rPr>
        <w:t>___________________________________</w:t>
      </w:r>
    </w:p>
    <w:p>
      <w:pPr>
        <w:pStyle w:val="Normal"/>
        <w:jc w:val="right"/>
        <w:rPr>
          <w:rFonts w:ascii="Calibri" w:hAnsi="Calibri" w:eastAsia="Calibri" w:cs="Calibri" w:asciiTheme="minorHAnsi" w:cstheme="minorHAnsi" w:hAnsiTheme="minorHAnsi"/>
          <w:color w:val="000000"/>
          <w:sz w:val="24"/>
        </w:rPr>
      </w:pPr>
      <w:r>
        <w:rPr>
          <w:rFonts w:eastAsia="Calibri" w:cs="Calibri" w:ascii="Calibri" w:hAnsi="Calibri" w:asciiTheme="minorHAnsi" w:cstheme="minorHAnsi" w:hAnsiTheme="minorHAnsi"/>
          <w:color w:val="000000"/>
          <w:sz w:val="24"/>
        </w:rPr>
        <w:t xml:space="preserve">Nome de Declarante </w:t>
      </w:r>
    </w:p>
    <w:p>
      <w:pPr>
        <w:pStyle w:val="Normal"/>
        <w:jc w:val="right"/>
        <w:rPr>
          <w:rFonts w:ascii="Calibri" w:hAnsi="Calibri" w:eastAsia="Times New Roman" w:cs="Calibri" w:asciiTheme="minorHAnsi" w:cstheme="minorHAnsi" w:hAnsiTheme="minorHAnsi"/>
          <w:sz w:val="24"/>
        </w:rPr>
      </w:pPr>
      <w:r>
        <w:rPr>
          <w:rFonts w:eastAsia="Calibri" w:cs="Calibri" w:ascii="Calibri" w:hAnsi="Calibri" w:asciiTheme="minorHAnsi" w:cstheme="minorHAnsi" w:hAnsiTheme="minorHAnsi"/>
          <w:color w:val="000000"/>
          <w:sz w:val="24"/>
        </w:rPr>
        <w:t>Nº CPF do Declarante</w:t>
      </w:r>
    </w:p>
    <w:p>
      <w:pPr>
        <w:pStyle w:val="Normal"/>
        <w:jc w:val="right"/>
        <w:rPr>
          <w:rFonts w:ascii="Calibri" w:hAnsi="Calibri" w:eastAsia="Times New Roman" w:cs="Calibri" w:asciiTheme="minorHAnsi" w:cstheme="minorHAnsi" w:hAnsiTheme="minorHAnsi"/>
          <w:sz w:val="24"/>
        </w:rPr>
      </w:pPr>
      <w:r>
        <w:rPr>
          <w:rFonts w:eastAsia="Times New Roman" w:cs="Calibri" w:ascii="Calibri" w:hAnsi="Calibri" w:asciiTheme="minorHAnsi" w:cstheme="minorHAnsi" w:hAnsiTheme="minorHAnsi"/>
          <w:color w:val="000000"/>
          <w:sz w:val="24"/>
        </w:rPr>
        <w:t>Sócio-Administrador</w:t>
      </w:r>
    </w:p>
    <w:p>
      <w:pPr>
        <w:pStyle w:val="Normal"/>
        <w:rPr>
          <w:rFonts w:ascii="Calibri" w:hAnsi="Calibri" w:cs="Calibri" w:asciiTheme="minorHAnsi" w:cstheme="minorHAnsi" w:hAnsiTheme="minorHAnsi"/>
          <w:sz w:val="24"/>
        </w:rPr>
      </w:pPr>
      <w:r>
        <w:rPr>
          <w:rFonts w:cs="Calibri" w:cstheme="minorHAnsi" w:ascii="Calibri" w:hAnsi="Calibri"/>
          <w:sz w:val="24"/>
        </w:rPr>
      </w:r>
      <w:bookmarkStart w:id="1" w:name="_GoBack_Copia_1"/>
      <w:bookmarkStart w:id="2" w:name="_heading=h.gjdgxs"/>
      <w:bookmarkStart w:id="3" w:name="_GoBack_Copia_1"/>
      <w:bookmarkStart w:id="4" w:name="_heading=h.gjdgxs"/>
      <w:bookmarkEnd w:id="3"/>
      <w:bookmarkEnd w:id="4"/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701" w:right="1134" w:gutter="0" w:header="1418" w:top="1931" w:footer="0" w:bottom="709"/>
      <w:pgNumType w:start="1"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roman"/>
    <w:pitch w:val="variable"/>
  </w:font>
  <w:font w:name="Ecofont_Spranq_eco_Sans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Georgia">
    <w:charset w:val="00"/>
    <w:family w:val="roman"/>
    <w:pitch w:val="variable"/>
  </w:font>
  <w:font w:name="Calibri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b/>
        <w:bCs/>
      </w:rPr>
    </w:pP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</w:rPr>
      <w:t>17</w:t>
    </w:r>
    <w:r>
      <w:rPr>
        <w:b/>
        <w:bCs/>
      </w:rPr>
      <w:fldChar w:fldCharType="end"/>
    </w:r>
    <w:r>
      <w:rPr>
        <w:b/>
        <w:bCs/>
      </w:rPr>
      <w:t>/</w:t>
    </w:r>
    <w:r>
      <w:rPr>
        <w:b/>
        <w:bCs/>
      </w:rPr>
      <w:fldChar w:fldCharType="begin"/>
    </w:r>
    <w:r>
      <w:rPr>
        <w:b/>
        <w:bCs/>
      </w:rPr>
      <w:instrText xml:space="preserve"> NUMPAGES </w:instrText>
    </w:r>
    <w:r>
      <w:rPr>
        <w:b/>
        <w:bCs/>
      </w:rPr>
      <w:fldChar w:fldCharType="separate"/>
    </w:r>
    <w:r>
      <w:rPr>
        <w:b/>
        <w:bCs/>
      </w:rPr>
      <w:t>17</w:t>
    </w:r>
    <w:r>
      <w:rPr>
        <w:b/>
        <w:bCs/>
      </w:rPr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b/>
        <w:bCs/>
      </w:rPr>
    </w:pP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</w:rPr>
      <w:t>17</w:t>
    </w:r>
    <w:r>
      <w:rPr>
        <w:b/>
        <w:bCs/>
      </w:rPr>
      <w:fldChar w:fldCharType="end"/>
    </w:r>
    <w:r>
      <w:rPr>
        <w:b/>
        <w:bCs/>
      </w:rPr>
      <w:t>/</w:t>
    </w:r>
    <w:r>
      <w:rPr>
        <w:b/>
        <w:bCs/>
      </w:rPr>
      <w:fldChar w:fldCharType="begin"/>
    </w:r>
    <w:r>
      <w:rPr>
        <w:b/>
        <w:bCs/>
      </w:rPr>
      <w:instrText xml:space="preserve"> NUMPAGES </w:instrText>
    </w:r>
    <w:r>
      <w:rPr>
        <w:b/>
        <w:bCs/>
      </w:rPr>
      <w:fldChar w:fldCharType="separate"/>
    </w:r>
    <w:r>
      <w:rPr>
        <w:b/>
        <w:bCs/>
      </w:rPr>
      <w:t>17</w:t>
    </w:r>
    <w:r>
      <w:rPr>
        <w:b/>
        <w:bCs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e7070"/>
    <w:pPr>
      <w:widowControl/>
      <w:suppressAutoHyphens w:val="true"/>
      <w:bidi w:val="0"/>
      <w:spacing w:before="0" w:after="0"/>
      <w:jc w:val="left"/>
    </w:pPr>
    <w:rPr>
      <w:rFonts w:ascii="Arial" w:hAnsi="Arial" w:eastAsia="Arial" w:cs="Tahoma"/>
      <w:color w:val="auto"/>
      <w:kern w:val="0"/>
      <w:sz w:val="20"/>
      <w:szCs w:val="24"/>
      <w:lang w:val="pt-BR" w:eastAsia="pt-BR" w:bidi="ar-SA"/>
    </w:rPr>
  </w:style>
  <w:style w:type="paragraph" w:styleId="Heading1">
    <w:name w:val="Heading 1"/>
    <w:basedOn w:val="Normal"/>
    <w:next w:val="Normal"/>
    <w:link w:val="Cabealho1Carter"/>
    <w:qFormat/>
    <w:rsid w:val="00de7070"/>
    <w:pPr>
      <w:keepNext w:val="true"/>
      <w:keepLines/>
      <w:spacing w:before="240" w:after="0"/>
      <w:outlineLvl w:val="0"/>
    </w:pPr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32"/>
      <w:szCs w:val="32"/>
    </w:rPr>
  </w:style>
  <w:style w:type="paragraph" w:styleId="Heading2">
    <w:name w:val="Heading 2"/>
    <w:basedOn w:val="Normal"/>
    <w:next w:val="Normal"/>
    <w:link w:val="Cabealho2Carter"/>
    <w:qFormat/>
    <w:rsid w:val="004b460a"/>
    <w:pPr>
      <w:keepNext w:val="true"/>
      <w:tabs>
        <w:tab w:val="clear" w:pos="720"/>
        <w:tab w:val="left" w:pos="1701" w:leader="none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Heading3">
    <w:name w:val="Heading 3"/>
    <w:basedOn w:val="Normal"/>
    <w:next w:val="Normal"/>
    <w:qFormat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qFormat/>
    <w:pPr>
      <w:keepNext w:val="true"/>
      <w:keepLines/>
      <w:spacing w:before="240" w:after="4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keepNext w:val="true"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qFormat/>
    <w:pPr>
      <w:keepNext w:val="true"/>
      <w:keepLines/>
      <w:spacing w:before="200" w:after="40"/>
      <w:outlineLvl w:val="5"/>
    </w:pPr>
    <w:rPr>
      <w:b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arter" w:customStyle="1">
    <w:name w:val="Texto de balão Caráter"/>
    <w:link w:val="BalloonText"/>
    <w:qFormat/>
    <w:rsid w:val="003a73c1"/>
    <w:rPr>
      <w:rFonts w:ascii="Tahoma" w:hAnsi="Tahoma" w:cs="Tahoma"/>
      <w:sz w:val="16"/>
      <w:szCs w:val="16"/>
    </w:rPr>
  </w:style>
  <w:style w:type="character" w:styleId="Cabealho2Carter" w:customStyle="1">
    <w:name w:val="Cabeçalho 2 Caráter"/>
    <w:qFormat/>
    <w:rsid w:val="004b460a"/>
    <w:rPr>
      <w:b/>
      <w:color w:val="000000"/>
      <w:sz w:val="24"/>
    </w:rPr>
  </w:style>
  <w:style w:type="character" w:styleId="normalchar1" w:customStyle="1">
    <w:name w:val="normal__char1"/>
    <w:qFormat/>
    <w:rsid w:val="008d51cc"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apple-style-span" w:customStyle="1">
    <w:name w:val="apple-style-span"/>
    <w:basedOn w:val="DefaultParagraphFont"/>
    <w:qFormat/>
    <w:rsid w:val="00260802"/>
    <w:rPr/>
  </w:style>
  <w:style w:type="character" w:styleId="InternetLink">
    <w:name w:val="Internet Link"/>
    <w:qFormat/>
    <w:rsid w:val="00bf1a7f"/>
    <w:rPr>
      <w:color w:val="000080"/>
      <w:u w:val="single"/>
    </w:rPr>
  </w:style>
  <w:style w:type="character" w:styleId="CitaoCarter" w:customStyle="1">
    <w:name w:val="Citação Caráter"/>
    <w:link w:val="Quote"/>
    <w:qFormat/>
    <w:rsid w:val="00c322f1"/>
    <w:rPr>
      <w:rFonts w:ascii="Ecofont_Spranq_eco_Sans" w:hAnsi="Ecofont_Spranq_eco_Sans" w:eastAsia="Calibri" w:cs="Tahoma"/>
      <w:i/>
      <w:iCs/>
      <w:color w:val="000000"/>
      <w:szCs w:val="24"/>
      <w:shd w:fill="FFFFCC" w:val="clear"/>
      <w:lang w:eastAsia="en-US"/>
    </w:rPr>
  </w:style>
  <w:style w:type="character" w:styleId="citao2Char" w:customStyle="1">
    <w:name w:val="citação 2 Char"/>
    <w:basedOn w:val="CitaoCarter"/>
    <w:link w:val="citao2"/>
    <w:qFormat/>
    <w:rsid w:val="000a23da"/>
    <w:rPr>
      <w:rFonts w:ascii="Ecofont_Spranq_eco_Sans" w:hAnsi="Ecofont_Spranq_eco_Sans" w:eastAsia="Calibri" w:cs="Tahoma"/>
      <w:i/>
      <w:iCs/>
      <w:color w:val="000000"/>
      <w:szCs w:val="24"/>
      <w:shd w:fill="FFFFCC" w:val="clear"/>
      <w:lang w:eastAsia="en-US"/>
    </w:rPr>
  </w:style>
  <w:style w:type="character" w:styleId="GradeColorida-nfase1Char" w:customStyle="1">
    <w:name w:val="Grade Colorida - Ênfase 1 Char"/>
    <w:link w:val="GradeColorida-nfase11"/>
    <w:uiPriority w:val="29"/>
    <w:qFormat/>
    <w:rsid w:val="00821b3a"/>
    <w:rPr>
      <w:rFonts w:ascii="Ecofont_Spranq_eco_Sans" w:hAnsi="Ecofont_Spranq_eco_Sans" w:eastAsia="Calibri"/>
      <w:i/>
      <w:iCs/>
      <w:color w:val="000000"/>
      <w:szCs w:val="24"/>
      <w:shd w:fill="FFFFCC" w:val="clear"/>
      <w:lang w:val="x-none" w:eastAsia="en-US"/>
    </w:rPr>
  </w:style>
  <w:style w:type="character" w:styleId="CabealhoCarter" w:customStyle="1">
    <w:name w:val="Cabeçalho Caráter"/>
    <w:basedOn w:val="DefaultParagraphFont"/>
    <w:qFormat/>
    <w:rsid w:val="00a3644b"/>
    <w:rPr>
      <w:rFonts w:ascii="Ecofont_Spranq_eco_Sans" w:hAnsi="Ecofont_Spranq_eco_Sans" w:cs="Tahoma"/>
      <w:sz w:val="24"/>
      <w:szCs w:val="24"/>
    </w:rPr>
  </w:style>
  <w:style w:type="character" w:styleId="RodapCarter" w:customStyle="1">
    <w:name w:val="Rodapé Caráter"/>
    <w:basedOn w:val="DefaultParagraphFont"/>
    <w:uiPriority w:val="99"/>
    <w:qFormat/>
    <w:rsid w:val="00a3644b"/>
    <w:rPr>
      <w:rFonts w:ascii="Ecofont_Spranq_eco_Sans" w:hAnsi="Ecofont_Spranq_eco_Sans" w:cs="Tahoma"/>
      <w:sz w:val="24"/>
      <w:szCs w:val="24"/>
    </w:rPr>
  </w:style>
  <w:style w:type="character" w:styleId="Cabealho1Carter" w:customStyle="1">
    <w:name w:val="Cabeçalho 1 Caráter"/>
    <w:basedOn w:val="DefaultParagraphFont"/>
    <w:qFormat/>
    <w:rsid w:val="00de7070"/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32"/>
      <w:szCs w:val="32"/>
    </w:rPr>
  </w:style>
  <w:style w:type="character" w:styleId="Nivel1Char" w:customStyle="1">
    <w:name w:val="Nivel1 Char"/>
    <w:basedOn w:val="Cabealho1Carter"/>
    <w:link w:val="Nivel1"/>
    <w:qFormat/>
    <w:rsid w:val="00de7070"/>
    <w:rPr>
      <w:rFonts w:ascii="Cambria" w:hAnsi="Cambria" w:eastAsia="" w:cs="" w:asciiTheme="majorHAnsi" w:cstheme="majorBidi" w:eastAsiaTheme="majorEastAsia" w:hAnsiTheme="majorHAnsi"/>
      <w:b/>
      <w:color w:themeColor="accent1" w:themeShade="bf" w:val="000000"/>
      <w:sz w:val="32"/>
      <w:szCs w:val="32"/>
    </w:rPr>
  </w:style>
  <w:style w:type="character" w:styleId="annotationreference">
    <w:name w:val="annotation reference"/>
    <w:basedOn w:val="DefaultParagraphFont"/>
    <w:semiHidden/>
    <w:unhideWhenUsed/>
    <w:qFormat/>
    <w:rsid w:val="00453b1d"/>
    <w:rPr>
      <w:sz w:val="18"/>
      <w:szCs w:val="18"/>
    </w:rPr>
  </w:style>
  <w:style w:type="character" w:styleId="TextodecomentrioCarter" w:customStyle="1">
    <w:name w:val="Texto de comentário Caráter"/>
    <w:basedOn w:val="DefaultParagraphFont"/>
    <w:qFormat/>
    <w:rsid w:val="00453b1d"/>
    <w:rPr>
      <w:rFonts w:ascii="Arial" w:hAnsi="Arial" w:cs="Tahoma"/>
      <w:sz w:val="24"/>
      <w:szCs w:val="24"/>
    </w:rPr>
  </w:style>
  <w:style w:type="character" w:styleId="AssuntodecomentrioCarter" w:customStyle="1">
    <w:name w:val="Assunto de comentário Caráter"/>
    <w:basedOn w:val="TextodecomentrioCarter"/>
    <w:link w:val="annotationsubject"/>
    <w:semiHidden/>
    <w:qFormat/>
    <w:rsid w:val="005e4cdc"/>
    <w:rPr>
      <w:rFonts w:ascii="Arial" w:hAnsi="Arial" w:cs="Tahoma"/>
      <w:b/>
      <w:bCs/>
      <w:sz w:val="24"/>
      <w:szCs w:val="24"/>
    </w:rPr>
  </w:style>
  <w:style w:type="character" w:styleId="Nivel01Char" w:customStyle="1">
    <w:name w:val="Nivel 01 Char"/>
    <w:basedOn w:val="DefaultParagraphFont"/>
    <w:link w:val="Nivel01"/>
    <w:qFormat/>
    <w:rsid w:val="00563cba"/>
    <w:rPr>
      <w:rFonts w:ascii="Ecofont_Spranq_eco_Sans" w:hAnsi="Ecofont_Spranq_eco_Sans" w:eastAsia="" w:eastAsiaTheme="majorEastAsia"/>
      <w:b/>
      <w:bCs/>
      <w:color w:val="000000"/>
    </w:rPr>
  </w:style>
  <w:style w:type="character" w:styleId="Nivel01Char1" w:customStyle="1">
    <w:name w:val="Nivel_01 Char"/>
    <w:basedOn w:val="Cabealho1Carter"/>
    <w:link w:val="Nivel011"/>
    <w:qFormat/>
    <w:rsid w:val="00d37dc8"/>
    <w:rPr>
      <w:rFonts w:ascii="Ecofont_Spranq_eco_Sans" w:hAnsi="Ecofont_Spranq_eco_Sans" w:eastAsia="" w:cs="" w:cstheme="majorBidi" w:eastAsiaTheme="majorEastAsia"/>
      <w:b/>
      <w:bCs/>
      <w:color w:themeColor="accent1" w:themeShade="bf" w:val="365F91"/>
      <w:sz w:val="32"/>
      <w:szCs w:val="32"/>
    </w:rPr>
  </w:style>
  <w:style w:type="character" w:styleId="Strong">
    <w:name w:val="Strong"/>
    <w:basedOn w:val="DefaultParagraphFont"/>
    <w:uiPriority w:val="22"/>
    <w:qFormat/>
    <w:rsid w:val="00520bcd"/>
    <w:rPr>
      <w:b/>
      <w:bCs/>
    </w:rPr>
  </w:style>
  <w:style w:type="character" w:styleId="Emphasis">
    <w:name w:val="Emphasis"/>
    <w:basedOn w:val="DefaultParagraphFont"/>
    <w:uiPriority w:val="20"/>
    <w:qFormat/>
    <w:rsid w:val="00520bcd"/>
    <w:rPr>
      <w:i/>
      <w:iCs/>
    </w:rPr>
  </w:style>
  <w:style w:type="character" w:styleId="Nivel2Char" w:customStyle="1">
    <w:name w:val="Nivel 2 Char"/>
    <w:basedOn w:val="DefaultParagraphFont"/>
    <w:link w:val="Nivel2"/>
    <w:qFormat/>
    <w:rsid w:val="00210b85"/>
    <w:rPr>
      <w:rFonts w:ascii="Ecofont_Spranq_eco_Sans" w:hAnsi="Ecofont_Spranq_eco_Sans" w:eastAsia="Arial Unicode MS"/>
    </w:rPr>
  </w:style>
  <w:style w:type="character" w:styleId="QuoteChar" w:customStyle="1">
    <w:name w:val="Quote Char"/>
    <w:link w:val="Citao1"/>
    <w:qFormat/>
    <w:rsid w:val="0039126b"/>
    <w:rPr>
      <w:rFonts w:ascii="Ecofont_Spranq_eco_Sans" w:hAnsi="Ecofont_Spranq_eco_Sans" w:cs="Ecofont_Spranq_eco_Sans"/>
      <w:i/>
      <w:iCs/>
      <w:color w:val="000000"/>
      <w:sz w:val="24"/>
      <w:szCs w:val="24"/>
      <w:shd w:fill="FFFFCC" w:val="clear"/>
      <w:lang w:eastAsia="en-US"/>
    </w:rPr>
  </w:style>
  <w:style w:type="character" w:styleId="apple-converted-space" w:customStyle="1">
    <w:name w:val="apple-converted-space"/>
    <w:basedOn w:val="DefaultParagraphFont"/>
    <w:qFormat/>
    <w:rsid w:val="00f108db"/>
    <w:rPr/>
  </w:style>
  <w:style w:type="character" w:styleId="scayt-misspell-word" w:customStyle="1">
    <w:name w:val="scayt-misspell-word"/>
    <w:basedOn w:val="DefaultParagraphFont"/>
    <w:qFormat/>
    <w:rsid w:val="00471331"/>
    <w:rPr/>
  </w:style>
  <w:style w:type="character" w:styleId="FollowedHyperlink">
    <w:name w:val="FollowedHyperlink"/>
    <w:basedOn w:val="DefaultParagraphFont"/>
    <w:semiHidden/>
    <w:unhideWhenUsed/>
    <w:rsid w:val="009e560a"/>
    <w:rPr>
      <w:color w:themeColor="followedHyperlink" w:val="800080"/>
      <w:u w:val="single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4773fc"/>
    <w:pPr>
      <w:spacing w:before="0" w:after="0"/>
      <w:ind w:left="720"/>
      <w:contextualSpacing/>
    </w:pPr>
    <w:rPr/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BalloonText">
    <w:name w:val="Balloon Text"/>
    <w:basedOn w:val="Normal"/>
    <w:link w:val="TextodebaloCarter"/>
    <w:qFormat/>
    <w:rsid w:val="003a73c1"/>
    <w:pPr/>
    <w:rPr>
      <w:rFonts w:ascii="Tahoma" w:hAnsi="Tahoma"/>
      <w:sz w:val="16"/>
      <w:szCs w:val="16"/>
    </w:rPr>
  </w:style>
  <w:style w:type="paragraph" w:styleId="Nvel2" w:customStyle="1">
    <w:name w:val="Nível 2"/>
    <w:basedOn w:val="Normal"/>
    <w:next w:val="Normal"/>
    <w:qFormat/>
    <w:rsid w:val="004b460a"/>
    <w:pPr>
      <w:spacing w:before="0" w:after="120"/>
      <w:jc w:val="both"/>
    </w:pPr>
    <w:rPr>
      <w:rFonts w:cs="Times New Roman"/>
      <w:b/>
      <w:szCs w:val="20"/>
    </w:rPr>
  </w:style>
  <w:style w:type="paragraph" w:styleId="Quote">
    <w:name w:val="Quote"/>
    <w:basedOn w:val="Normal"/>
    <w:next w:val="Normal"/>
    <w:link w:val="CitaoCarter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lang w:eastAsia="en-US"/>
    </w:rPr>
  </w:style>
  <w:style w:type="paragraph" w:styleId="ListBullet5">
    <w:name w:val="List Bullet 5"/>
    <w:basedOn w:val="Normal"/>
    <w:rsid w:val="001a3a05"/>
    <w:pPr>
      <w:numPr>
        <w:ilvl w:val="0"/>
        <w:numId w:val="1"/>
      </w:numPr>
      <w:spacing w:before="0" w:after="0"/>
      <w:contextualSpacing/>
    </w:pPr>
    <w:rPr/>
  </w:style>
  <w:style w:type="paragraph" w:styleId="citao2" w:customStyle="1">
    <w:name w:val="citação 2"/>
    <w:basedOn w:val="Quote"/>
    <w:link w:val="citao2Char"/>
    <w:qFormat/>
    <w:rsid w:val="000a23da"/>
    <w:pPr/>
    <w:rPr>
      <w:szCs w:val="20"/>
    </w:rPr>
  </w:style>
  <w:style w:type="paragraph" w:styleId="GradeColorida-nfase11" w:customStyle="1">
    <w:name w:val="Grade Colorida - Ênfase 11"/>
    <w:basedOn w:val="Normal"/>
    <w:next w:val="Normal"/>
    <w:link w:val="GradeColorida-nfase1Char"/>
    <w:uiPriority w:val="29"/>
    <w:qFormat/>
    <w:rsid w:val="00821b3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 w:cs="Times New Roman"/>
      <w:i/>
      <w:iCs/>
      <w:color w:val="000000"/>
      <w:lang w:val="x-none" w:eastAsia="en-US"/>
    </w:rPr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arter"/>
    <w:unhideWhenUsed/>
    <w:rsid w:val="00a3644b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Footer">
    <w:name w:val="Footer"/>
    <w:basedOn w:val="Normal"/>
    <w:link w:val="RodapCarter"/>
    <w:uiPriority w:val="99"/>
    <w:unhideWhenUsed/>
    <w:rsid w:val="00a3644b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Nivel1" w:customStyle="1">
    <w:name w:val="Nivel1"/>
    <w:basedOn w:val="Heading1"/>
    <w:next w:val="Normal"/>
    <w:link w:val="Nivel1Char"/>
    <w:qFormat/>
    <w:rsid w:val="00de7070"/>
    <w:pPr>
      <w:tabs>
        <w:tab w:val="left" w:pos="720" w:leader="none"/>
      </w:tabs>
      <w:spacing w:lineRule="auto" w:line="276" w:before="480" w:after="120"/>
      <w:ind w:hanging="720" w:left="720"/>
      <w:jc w:val="both"/>
    </w:pPr>
    <w:rPr>
      <w:rFonts w:ascii="Arial" w:hAnsi="Arial" w:cs="Arial"/>
      <w:b/>
      <w:color w:themeColor="accent1" w:themeShade="bf" w:val="000000"/>
      <w:sz w:val="20"/>
      <w:szCs w:val="20"/>
    </w:rPr>
  </w:style>
  <w:style w:type="paragraph" w:styleId="AnnotationText">
    <w:name w:val="Annotation Text"/>
    <w:basedOn w:val="Normal"/>
    <w:link w:val="TextodecomentrioCarter"/>
    <w:unhideWhenUsed/>
    <w:rsid w:val="00453b1d"/>
    <w:pPr/>
    <w:rPr>
      <w:sz w:val="24"/>
    </w:rPr>
  </w:style>
  <w:style w:type="paragraph" w:styleId="annotationsubject">
    <w:name w:val="annotation subject"/>
    <w:basedOn w:val="AnnotationText"/>
    <w:next w:val="AnnotationText"/>
    <w:link w:val="AssuntodecomentrioCarter"/>
    <w:semiHidden/>
    <w:unhideWhenUsed/>
    <w:qFormat/>
    <w:rsid w:val="005e4cdc"/>
    <w:pPr/>
    <w:rPr>
      <w:b/>
      <w:bCs/>
      <w:sz w:val="20"/>
      <w:szCs w:val="20"/>
    </w:rPr>
  </w:style>
  <w:style w:type="paragraph" w:styleId="Nivel01" w:customStyle="1">
    <w:name w:val="Nivel 01"/>
    <w:basedOn w:val="Heading1"/>
    <w:next w:val="Normal"/>
    <w:link w:val="Nivel01Char"/>
    <w:qFormat/>
    <w:rsid w:val="00563cba"/>
    <w:pPr>
      <w:tabs>
        <w:tab w:val="clear" w:pos="720"/>
        <w:tab w:val="left" w:pos="567" w:leader="none"/>
      </w:tabs>
      <w:jc w:val="both"/>
    </w:pPr>
    <w:rPr>
      <w:rFonts w:ascii="Ecofont_Spranq_eco_Sans" w:hAnsi="Ecofont_Spranq_eco_Sans" w:cs="Times New Roman"/>
      <w:b/>
      <w:bCs/>
      <w:color w:themeColor="accent1" w:themeShade="bf" w:val="000000"/>
      <w:sz w:val="20"/>
      <w:szCs w:val="20"/>
    </w:rPr>
  </w:style>
  <w:style w:type="paragraph" w:styleId="Nivel011" w:customStyle="1">
    <w:name w:val="Nivel_01"/>
    <w:basedOn w:val="Heading1"/>
    <w:link w:val="Nivel01Char1"/>
    <w:qFormat/>
    <w:rsid w:val="00ea46e8"/>
    <w:pPr>
      <w:tabs>
        <w:tab w:val="clear" w:pos="720"/>
        <w:tab w:val="left" w:pos="567" w:leader="none"/>
      </w:tabs>
      <w:jc w:val="both"/>
    </w:pPr>
    <w:rPr>
      <w:rFonts w:ascii="Ecofont_Spranq_eco_Sans" w:hAnsi="Ecofont_Spranq_eco_Sans" w:cs="Times New Roman"/>
      <w:b/>
      <w:bCs/>
      <w:color w:themeColor="accent1" w:themeShade="bf" w:val="auto"/>
      <w:sz w:val="20"/>
      <w:szCs w:val="20"/>
    </w:rPr>
  </w:style>
  <w:style w:type="paragraph" w:styleId="SombreamentoMdio1-nfase31" w:customStyle="1">
    <w:name w:val="Sombreamento Médio 1 - Ênfase 31"/>
    <w:basedOn w:val="Normal"/>
    <w:next w:val="Normal"/>
    <w:qFormat/>
    <w:rsid w:val="00323a8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 w:val="true"/>
      <w:spacing w:before="120" w:after="0"/>
      <w:jc w:val="both"/>
    </w:pPr>
    <w:rPr>
      <w:rFonts w:ascii="Ecofont_Spranq_eco_Sans" w:hAnsi="Ecofont_Spranq_eco_Sans" w:eastAsia="Calibri"/>
      <w:i/>
      <w:iCs/>
      <w:color w:val="000000"/>
      <w:lang w:eastAsia="zh-CN"/>
    </w:rPr>
  </w:style>
  <w:style w:type="paragraph" w:styleId="PargrafodaLista1" w:customStyle="1">
    <w:name w:val="Parágrafo da Lista1"/>
    <w:basedOn w:val="Normal"/>
    <w:qFormat/>
    <w:rsid w:val="00834300"/>
    <w:pPr>
      <w:ind w:left="720"/>
    </w:pPr>
    <w:rPr>
      <w:rFonts w:ascii="Ecofont_Spranq_eco_Sans" w:hAnsi="Ecofont_Spranq_eco_Sans" w:cs="Ecofont_Spranq_eco_Sans"/>
      <w:sz w:val="24"/>
    </w:rPr>
  </w:style>
  <w:style w:type="paragraph" w:styleId="Nivel2" w:customStyle="1">
    <w:name w:val="Nivel 2"/>
    <w:link w:val="Nivel2Char"/>
    <w:qFormat/>
    <w:rsid w:val="00210b85"/>
    <w:pPr>
      <w:widowControl/>
      <w:numPr>
        <w:ilvl w:val="1"/>
        <w:numId w:val="2"/>
      </w:numPr>
      <w:suppressAutoHyphens w:val="true"/>
      <w:bidi w:val="0"/>
      <w:spacing w:lineRule="auto" w:line="276" w:before="120" w:after="120"/>
      <w:jc w:val="both"/>
    </w:pPr>
    <w:rPr>
      <w:rFonts w:ascii="Ecofont_Spranq_eco_Sans" w:hAnsi="Ecofont_Spranq_eco_Sans" w:eastAsia="Arial Unicode MS" w:cs="Arial"/>
      <w:color w:val="auto"/>
      <w:kern w:val="0"/>
      <w:sz w:val="20"/>
      <w:szCs w:val="20"/>
      <w:lang w:val="pt-BR" w:eastAsia="pt-BR" w:bidi="ar-SA"/>
    </w:rPr>
  </w:style>
  <w:style w:type="paragraph" w:styleId="Nivel11" w:customStyle="1">
    <w:name w:val="Nivel 1"/>
    <w:basedOn w:val="Nivel2"/>
    <w:next w:val="Nivel2"/>
    <w:qFormat/>
    <w:rsid w:val="00210b85"/>
    <w:pPr>
      <w:numPr>
        <w:ilvl w:val="0"/>
        <w:numId w:val="0"/>
      </w:numPr>
      <w:tabs>
        <w:tab w:val="left" w:pos="360" w:leader="none"/>
        <w:tab w:val="left" w:pos="720" w:leader="none"/>
      </w:tabs>
      <w:ind w:hanging="432" w:left="644"/>
    </w:pPr>
    <w:rPr>
      <w:b/>
    </w:rPr>
  </w:style>
  <w:style w:type="paragraph" w:styleId="Nivel3" w:customStyle="1">
    <w:name w:val="Nivel 3"/>
    <w:basedOn w:val="Nivel2"/>
    <w:qFormat/>
    <w:rsid w:val="00210b85"/>
    <w:pPr>
      <w:tabs>
        <w:tab w:val="clear" w:pos="720"/>
        <w:tab w:val="left" w:pos="360" w:leader="none"/>
      </w:tabs>
      <w:ind w:left="1922"/>
    </w:pPr>
    <w:rPr>
      <w:color w:val="000000"/>
    </w:rPr>
  </w:style>
  <w:style w:type="paragraph" w:styleId="Nivel4" w:customStyle="1">
    <w:name w:val="Nivel 4"/>
    <w:basedOn w:val="Nivel3"/>
    <w:qFormat/>
    <w:rsid w:val="00210b85"/>
    <w:pPr>
      <w:tabs>
        <w:tab w:val="left" w:pos="360" w:leader="none"/>
        <w:tab w:val="left" w:pos="2160" w:leader="none"/>
      </w:tabs>
      <w:ind w:left="2491"/>
    </w:pPr>
    <w:rPr>
      <w:color w:val="auto"/>
    </w:rPr>
  </w:style>
  <w:style w:type="paragraph" w:styleId="Nivel5" w:customStyle="1">
    <w:name w:val="Nivel 5"/>
    <w:basedOn w:val="Nivel4"/>
    <w:qFormat/>
    <w:rsid w:val="00210b85"/>
    <w:pPr>
      <w:ind w:left="3485"/>
    </w:pPr>
    <w:rPr/>
  </w:style>
  <w:style w:type="paragraph" w:styleId="Citao1" w:customStyle="1">
    <w:name w:val="Citação1"/>
    <w:basedOn w:val="Normal"/>
    <w:next w:val="Normal"/>
    <w:link w:val="QuoteChar"/>
    <w:qFormat/>
    <w:rsid w:val="0039126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Ecofont_Spranq_eco_Sans" w:hAnsi="Ecofont_Spranq_eco_Sans" w:cs="Ecofont_Spranq_eco_Sans"/>
      <w:i/>
      <w:iCs/>
      <w:color w:val="000000"/>
      <w:sz w:val="24"/>
      <w:shd w:fill="FFFFCC" w:val="clear"/>
      <w:lang w:eastAsia="en-US"/>
    </w:rPr>
  </w:style>
  <w:style w:type="paragraph" w:styleId="GradeColorida-nfase110" w:customStyle="1">
    <w:name w:val="Grade Colorida - Ênfase 110"/>
    <w:basedOn w:val="Normal"/>
    <w:next w:val="Normal"/>
    <w:qFormat/>
    <w:rsid w:val="00c63cf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Ecofont_Spranq_eco_Sans" w:hAnsi="Ecofont_Spranq_eco_Sans"/>
      <w:i/>
      <w:color w:val="000000"/>
      <w:sz w:val="24"/>
      <w:lang w:eastAsia="en-US"/>
    </w:rPr>
  </w:style>
  <w:style w:type="paragraph" w:styleId="Default" w:customStyle="1">
    <w:name w:val="Default"/>
    <w:qFormat/>
    <w:rsid w:val="00a7555b"/>
    <w:pPr>
      <w:widowControl/>
      <w:suppressAutoHyphens w:val="true"/>
      <w:bidi w:val="0"/>
      <w:spacing w:before="0" w:after="0"/>
      <w:jc w:val="left"/>
    </w:pPr>
    <w:rPr>
      <w:rFonts w:ascii="Arial" w:hAnsi="Arial" w:eastAsia="Arial" w:cs="Arial"/>
      <w:color w:val="000000"/>
      <w:kern w:val="0"/>
      <w:sz w:val="24"/>
      <w:szCs w:val="24"/>
      <w:lang w:val="pt-BR" w:eastAsia="pt-BR" w:bidi="ar-SA"/>
    </w:rPr>
  </w:style>
  <w:style w:type="paragraph" w:styleId="Subtitle">
    <w:name w:val="Subtitle"/>
    <w:basedOn w:val="Normal"/>
    <w:next w:val="Normal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Contedodatabela">
    <w:name w:val="Conteúdo da tabela"/>
    <w:basedOn w:val="Normal"/>
    <w:qFormat/>
    <w:pPr>
      <w:suppressLineNumbers/>
    </w:pPr>
    <w:rPr/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elha">
    <w:name w:val="Table Grid"/>
    <w:basedOn w:val="Tabelanormal"/>
    <w:rsid w:val="00a2471d"/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h+OPpzmojT1hR1lRCOf0qnKj/dGw==">AMUW2mVVTkxxSHboLWJnDj0fC4c9208DEc/C/NxqyZbTKdrGwK+AHOFYq7UNO6NrULkbPi6GuKiHsFB5DqNoMa2hMm5ho1BY//NH0x/vofLM5xCZ7r+atpb8Q1stLLVbhnQU4cTW6sbZ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Application>LibreOffice/24.2.6.2$Windows_X86_64 LibreOffice_project/ef66aa7e36a1bb8e65bfbc63aba53045a14d0871</Application>
  <AppVersion>15.0000</AppVersion>
  <Pages>17</Pages>
  <Words>2396</Words>
  <Characters>13325</Characters>
  <CharactersWithSpaces>15118</CharactersWithSpaces>
  <Paragraphs>619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2022-11-24T11:39:00Z</dcterms:created>
  <dc:creator>Adriano</dc:creator>
  <dc:description/>
  <dc:language>pt-BR</dc:language>
  <cp:lastModifiedBy/>
  <dcterms:modified xsi:type="dcterms:W3CDTF">2024-11-13T16:20:33Z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